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68C4" w:rsidRPr="007A7D4D" w:rsidRDefault="00E012DE" w:rsidP="007A7D4D">
      <w:pPr>
        <w:pStyle w:val="Nagwek1"/>
        <w:rPr>
          <w:rFonts w:ascii="Calibri" w:hAnsi="Calibri" w:cs="Calibri"/>
          <w:smallCaps/>
        </w:rPr>
      </w:pPr>
      <w:r w:rsidRPr="007A7D4D">
        <w:rPr>
          <w:rFonts w:ascii="Calibri" w:hAnsi="Calibri" w:cs="Calibri"/>
        </w:rPr>
        <w:t>Załącznik nr 2</w:t>
      </w:r>
    </w:p>
    <w:p w:rsidR="004668C4" w:rsidRPr="007A7D4D" w:rsidRDefault="00E012DE" w:rsidP="007A7D4D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A7D4D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4668C4" w:rsidRPr="007A7D4D" w:rsidRDefault="00E012DE" w:rsidP="007A7D4D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A7D4D">
        <w:rPr>
          <w:rFonts w:ascii="Calibri" w:hAnsi="Calibri" w:cs="Calibri"/>
          <w:smallCaps/>
          <w:sz w:val="24"/>
          <w:szCs w:val="24"/>
        </w:rPr>
        <w:t>wymaganych na poszczególnych stopniach</w:t>
      </w:r>
    </w:p>
    <w:p w:rsidR="004668C4" w:rsidRPr="007A7D4D" w:rsidRDefault="00E012DE" w:rsidP="007A7D4D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7A7D4D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1C0749" w:rsidRPr="007A7D4D">
        <w:rPr>
          <w:rFonts w:ascii="Calibri" w:hAnsi="Calibri" w:cs="Calibri"/>
          <w:smallCaps/>
          <w:color w:val="000000"/>
          <w:sz w:val="24"/>
          <w:szCs w:val="24"/>
        </w:rPr>
        <w:t>H</w:t>
      </w:r>
      <w:r w:rsidRPr="007A7D4D">
        <w:rPr>
          <w:rFonts w:ascii="Calibri" w:hAnsi="Calibri" w:cs="Calibri"/>
          <w:smallCaps/>
          <w:color w:val="000000"/>
          <w:sz w:val="24"/>
          <w:szCs w:val="24"/>
        </w:rPr>
        <w:t>istorycznego</w:t>
      </w:r>
    </w:p>
    <w:p w:rsidR="001C0749" w:rsidRPr="007A7D4D" w:rsidRDefault="001C0749" w:rsidP="007A7D4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7A7D4D">
        <w:rPr>
          <w:rFonts w:cs="Calibri"/>
          <w:b/>
          <w:bCs/>
          <w:smallCaps/>
          <w:sz w:val="24"/>
          <w:szCs w:val="24"/>
        </w:rPr>
        <w:t>organizowanego dla uczniów szkół podstawowych w roku szk. 2022/2023</w:t>
      </w:r>
    </w:p>
    <w:p w:rsidR="004668C4" w:rsidRPr="007A7D4D" w:rsidRDefault="004668C4" w:rsidP="007A7D4D">
      <w:pPr>
        <w:pStyle w:val="Standard"/>
        <w:jc w:val="both"/>
        <w:rPr>
          <w:rFonts w:ascii="Calibri" w:hAnsi="Calibri" w:cs="Calibri"/>
          <w:bCs/>
        </w:rPr>
      </w:pPr>
    </w:p>
    <w:p w:rsidR="004668C4" w:rsidRPr="007A7D4D" w:rsidRDefault="00E012DE" w:rsidP="007A7D4D">
      <w:pPr>
        <w:pStyle w:val="Standard"/>
        <w:jc w:val="both"/>
        <w:rPr>
          <w:rFonts w:ascii="Calibri" w:hAnsi="Calibri" w:cs="Calibri"/>
          <w:b/>
          <w:bCs/>
        </w:rPr>
      </w:pPr>
      <w:r w:rsidRPr="007A7D4D">
        <w:rPr>
          <w:rFonts w:ascii="Calibri" w:hAnsi="Calibri" w:cs="Calibri"/>
          <w:bCs/>
        </w:rPr>
        <w:t>Konkurs obejmuje i poszerza treści podstawy programowej z historii</w:t>
      </w:r>
      <w:r w:rsidRPr="007A7D4D">
        <w:rPr>
          <w:rStyle w:val="Znakiprzypiswdolnych"/>
          <w:rFonts w:ascii="Calibri" w:hAnsi="Calibri" w:cs="Calibri"/>
        </w:rPr>
        <w:footnoteReference w:id="1"/>
      </w:r>
      <w:r w:rsidR="00ED03CB" w:rsidRPr="007A7D4D">
        <w:rPr>
          <w:rFonts w:ascii="Calibri" w:hAnsi="Calibri" w:cs="Calibri"/>
          <w:bCs/>
          <w:color w:val="000000"/>
        </w:rPr>
        <w:t xml:space="preserve"> </w:t>
      </w:r>
      <w:r w:rsidRPr="007A7D4D">
        <w:rPr>
          <w:rFonts w:ascii="Calibri" w:hAnsi="Calibri" w:cs="Calibri"/>
          <w:bCs/>
          <w:color w:val="000000"/>
        </w:rPr>
        <w:t>w szkole podstawowej.</w:t>
      </w:r>
    </w:p>
    <w:p w:rsidR="004668C4" w:rsidRPr="007A7D4D" w:rsidRDefault="004668C4" w:rsidP="007A7D4D">
      <w:pPr>
        <w:pStyle w:val="Standard"/>
        <w:jc w:val="both"/>
        <w:rPr>
          <w:rFonts w:ascii="Calibri" w:hAnsi="Calibri" w:cs="Calibri"/>
          <w:b/>
          <w:bCs/>
        </w:rPr>
      </w:pPr>
    </w:p>
    <w:p w:rsidR="004668C4" w:rsidRPr="007A7D4D" w:rsidRDefault="00E012DE" w:rsidP="007A7D4D">
      <w:pPr>
        <w:pStyle w:val="Standard"/>
        <w:jc w:val="center"/>
        <w:rPr>
          <w:rFonts w:ascii="Calibri" w:hAnsi="Calibri" w:cs="Calibri"/>
          <w:b/>
          <w:color w:val="000000"/>
        </w:rPr>
      </w:pPr>
      <w:r w:rsidRPr="007A7D4D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150" w:type="dxa"/>
        <w:tblInd w:w="-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0"/>
        <w:gridCol w:w="1500"/>
        <w:gridCol w:w="3280"/>
      </w:tblGrid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68C4" w:rsidRPr="007A7D4D" w:rsidRDefault="00E012DE" w:rsidP="007A7D4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7D4D">
              <w:rPr>
                <w:rFonts w:ascii="Calibri" w:hAnsi="Calibri" w:cs="Calibri"/>
                <w:b/>
                <w:color w:val="000000"/>
              </w:rPr>
              <w:t>Opis wymagań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68C4" w:rsidRPr="007A7D4D" w:rsidRDefault="00E012DE" w:rsidP="007A7D4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color w:val="000000"/>
              </w:rPr>
              <w:t>Treści kształcenia w podstawie programowej</w:t>
            </w:r>
          </w:p>
        </w:tc>
        <w:tc>
          <w:tcPr>
            <w:tcW w:w="3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68C4" w:rsidRPr="007A7D4D" w:rsidRDefault="00E012DE" w:rsidP="007A7D4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Wykaz literatury i tekstów internetowych obowiązujących uczestników oraz stanowiących pomoc dla nauczyciela</w:t>
            </w:r>
          </w:p>
        </w:tc>
      </w:tr>
      <w:tr w:rsidR="004668C4" w:rsidRPr="007A7D4D" w:rsidTr="000A3EE5">
        <w:tblPrEx>
          <w:tblCellMar>
            <w:left w:w="108" w:type="dxa"/>
            <w:right w:w="108" w:type="dxa"/>
          </w:tblCellMar>
        </w:tblPrEx>
        <w:tc>
          <w:tcPr>
            <w:tcW w:w="101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I. Stopień szkolny</w:t>
            </w:r>
          </w:p>
        </w:tc>
      </w:tr>
      <w:tr w:rsidR="004668C4" w:rsidRPr="007A7D4D" w:rsidTr="000A3EE5"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4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Cs/>
                <w:color w:val="000000"/>
              </w:rPr>
              <w:t>Zadania na stopniu szkolnym obejmują wiadomości i umiejętności z</w:t>
            </w:r>
            <w:r w:rsidR="00916983" w:rsidRPr="007A7D4D">
              <w:rPr>
                <w:rFonts w:ascii="Calibri" w:hAnsi="Calibri" w:cs="Calibri"/>
                <w:bCs/>
                <w:color w:val="000000"/>
              </w:rPr>
              <w:t> </w:t>
            </w:r>
            <w:r w:rsidRPr="007A7D4D">
              <w:rPr>
                <w:rFonts w:ascii="Calibri" w:hAnsi="Calibri" w:cs="Calibri"/>
                <w:bCs/>
                <w:color w:val="000000"/>
              </w:rPr>
              <w:t>zakresu następujących zagadnień:</w:t>
            </w:r>
          </w:p>
        </w:tc>
        <w:tc>
          <w:tcPr>
            <w:tcW w:w="32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</w:rPr>
              <w:t xml:space="preserve">Podręczniki do nauczania </w:t>
            </w:r>
            <w:r w:rsidRPr="007A7D4D">
              <w:rPr>
                <w:rFonts w:ascii="Calibri" w:hAnsi="Calibri" w:cs="Calibri"/>
                <w:color w:val="000000"/>
              </w:rPr>
              <w:t>historii</w:t>
            </w:r>
            <w:r w:rsidRPr="007A7D4D">
              <w:rPr>
                <w:rFonts w:ascii="Calibri" w:hAnsi="Calibri" w:cs="Calibri"/>
              </w:rPr>
              <w:t xml:space="preserve"> dopuszczone do użytku w szkole podstawowej, a także dostosowane do nich zeszyty ćwiczeń.</w:t>
            </w:r>
          </w:p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Atlasy historyczne do szkoły podstawowej*.</w:t>
            </w:r>
          </w:p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Słowniki szkolne – terminy i pojęcia historyczne* (różne edycje).</w:t>
            </w:r>
          </w:p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i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Poczty książąt i królów polskich (różne edycje)*.</w:t>
            </w:r>
          </w:p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i/>
                <w:color w:val="000000"/>
              </w:rPr>
              <w:t>Encyklopedia Szkolna. Historia</w:t>
            </w:r>
            <w:r w:rsidRPr="007A7D4D">
              <w:rPr>
                <w:rFonts w:ascii="Calibri" w:hAnsi="Calibri" w:cs="Calibri"/>
                <w:color w:val="000000"/>
              </w:rPr>
              <w:t>, (praca zbiorowa, różne edycje)*.</w:t>
            </w:r>
          </w:p>
          <w:p w:rsidR="004668C4" w:rsidRPr="007A7D4D" w:rsidRDefault="00E012DE" w:rsidP="007A7D4D">
            <w:pPr>
              <w:pStyle w:val="Standard"/>
              <w:widowControl w:val="0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Akty prawne dotyczące symboli narodowych (barw, godła, hymnu państwowego), najważniejszych świąt narodowych i państwowych.</w:t>
            </w:r>
          </w:p>
          <w:p w:rsidR="004668C4" w:rsidRPr="007A7D4D" w:rsidRDefault="004668C4" w:rsidP="007A7D4D">
            <w:pPr>
              <w:pStyle w:val="Standard"/>
              <w:widowControl w:val="0"/>
              <w:ind w:left="357" w:hanging="357"/>
              <w:jc w:val="both"/>
              <w:rPr>
                <w:rFonts w:ascii="Calibri" w:hAnsi="Calibri" w:cs="Calibri"/>
                <w:color w:val="000000"/>
              </w:rPr>
            </w:pPr>
          </w:p>
          <w:p w:rsidR="004668C4" w:rsidRPr="007A7D4D" w:rsidRDefault="00E012DE" w:rsidP="007A7D4D">
            <w:pPr>
              <w:pStyle w:val="Akapitzlist"/>
              <w:widowControl w:val="0"/>
              <w:suppressAutoHyphens w:val="0"/>
              <w:spacing w:after="0" w:line="240" w:lineRule="auto"/>
              <w:ind w:left="357" w:hanging="357"/>
              <w:rPr>
                <w:rFonts w:ascii="Calibri" w:hAnsi="Calibri" w:cs="Calibri"/>
                <w:sz w:val="24"/>
                <w:szCs w:val="24"/>
              </w:rPr>
            </w:pPr>
            <w:r w:rsidRPr="007A7D4D">
              <w:rPr>
                <w:rFonts w:ascii="Calibri" w:hAnsi="Calibri" w:cs="Calibri"/>
                <w:color w:val="000000"/>
                <w:sz w:val="24"/>
                <w:szCs w:val="24"/>
              </w:rPr>
              <w:t>* – w zakresie chronologicznym i tematycznym związanym z treściami kształcenia wymienionymi w kolumnach 1. i 2.</w:t>
            </w: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Najważniejsze elementy polskiego dziedzictwa kulturowego.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II. 1-3 (kl. IV)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Refleksja nad historią jako nauką.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75083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III. 1-</w:t>
            </w:r>
            <w:r w:rsidR="00E012DE" w:rsidRPr="007A7D4D">
              <w:rPr>
                <w:rFonts w:ascii="Calibri" w:hAnsi="Calibri" w:cs="Calibri"/>
                <w:color w:val="000000"/>
              </w:rPr>
              <w:t>4 (kl. IV)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Postacie i wydarzenia o doniosłym znaczeniu dla</w:t>
            </w:r>
            <w:r w:rsidR="00E75083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kształtowania polskiej tożsamości kulturowej.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IV. 1-7 (kl. IV)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Cywilizacje starożytne.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I. 1-6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Świat islamski i Bizancjum.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II. 1-2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Średniowieczna Europa.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III. 1-4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Społeczeństwo i kultura średniowiecznej Europy.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IV. 1-4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Polska w okresie wczesnopiastowskim (X w. – poł. XII w.).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V. 1-6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Polska w okresie rozbicia dzielnicowego (poł. XII w. – XIII w.).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VI.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Polska w XIV – XV w.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VII. 1-7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Wielkie odkrycia geograficzne.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VIII. 1-2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„Złoty wiek” w Polsce na tle europejskim.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IX. 1-8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Początki Rzeczypospolitej Obojga Narodów.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Rzeczpospolita Obojga Narodów i jej sąsiedzi w XVII w.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XI. 1-6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5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 xml:space="preserve">Europa w XVII i XVIII w. 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XII. 1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4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Cs/>
              </w:rPr>
              <w:t>Wiedza merytoryczna uczniów powinna być poparta</w:t>
            </w:r>
            <w:r w:rsidRPr="007A7D4D">
              <w:rPr>
                <w:rFonts w:ascii="Calibri" w:hAnsi="Calibri" w:cs="Calibri"/>
                <w:b/>
                <w:bCs/>
              </w:rPr>
              <w:t xml:space="preserve"> umiejętnościami</w:t>
            </w:r>
            <w:r w:rsidRPr="007A7D4D">
              <w:rPr>
                <w:rFonts w:ascii="Calibri" w:hAnsi="Calibri" w:cs="Calibri"/>
                <w:bCs/>
              </w:rPr>
              <w:t>: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</w:rPr>
              <w:t>analizowania wydarzeń, zjawisk i procesów historycznych,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 xml:space="preserve">wyszukiwania oraz porównywania i interpretacji informacji </w:t>
            </w:r>
            <w:r w:rsidRPr="007A7D4D">
              <w:rPr>
                <w:rFonts w:ascii="Calibri" w:hAnsi="Calibri" w:cs="Calibri"/>
                <w:bCs/>
              </w:rPr>
              <w:lastRenderedPageBreak/>
              <w:t xml:space="preserve">pozyskanych z różnych źródeł (w tym </w:t>
            </w:r>
            <w:r w:rsidRPr="007A7D4D">
              <w:rPr>
                <w:rFonts w:ascii="Calibri" w:hAnsi="Calibri" w:cs="Calibri"/>
              </w:rPr>
              <w:t>tekstów źródłowych, planów, ilustracji, tabel, wykresów i map)</w:t>
            </w:r>
            <w:r w:rsidRPr="007A7D4D">
              <w:rPr>
                <w:rFonts w:ascii="Calibri" w:hAnsi="Calibri" w:cs="Calibri"/>
                <w:bCs/>
              </w:rPr>
              <w:t xml:space="preserve"> oraz formułowania wniosków na ich podstawie,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 xml:space="preserve">umieszczania wydarzeń, zjawisk i procesów historycznych w czasie i  przestrzeni (chronologia historyczna), porządkowania ich i ustalania między nimi związków poprzedzania, równoczesności i następstwa oraz związków </w:t>
            </w:r>
            <w:proofErr w:type="spellStart"/>
            <w:r w:rsidRPr="007A7D4D">
              <w:rPr>
                <w:rFonts w:ascii="Calibri" w:hAnsi="Calibri" w:cs="Calibri"/>
                <w:bCs/>
              </w:rPr>
              <w:t>przyczynowo-skutkowych</w:t>
            </w:r>
            <w:proofErr w:type="spellEnd"/>
            <w:r w:rsidRPr="007A7D4D">
              <w:rPr>
                <w:rFonts w:ascii="Calibri" w:hAnsi="Calibri" w:cs="Calibri"/>
                <w:bCs/>
              </w:rPr>
              <w:t>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>dostrzegania zmian w życiu społecznym na przestrzeni dziejów oraz</w:t>
            </w:r>
            <w:r w:rsidR="00443185" w:rsidRPr="007A7D4D">
              <w:rPr>
                <w:rFonts w:ascii="Calibri" w:hAnsi="Calibri" w:cs="Calibri"/>
                <w:bCs/>
              </w:rPr>
              <w:t> </w:t>
            </w:r>
            <w:r w:rsidRPr="007A7D4D">
              <w:rPr>
                <w:rFonts w:ascii="Calibri" w:hAnsi="Calibri" w:cs="Calibri"/>
                <w:bCs/>
              </w:rPr>
              <w:t>ciągłości w rozwoju kulturowym i cywilizacyjnym,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 xml:space="preserve">posługiwania się terminologią historyczną i </w:t>
            </w:r>
            <w:r w:rsidRPr="007A7D4D">
              <w:rPr>
                <w:rFonts w:ascii="Calibri" w:hAnsi="Calibri" w:cs="Calibri"/>
                <w:bCs/>
                <w:color w:val="000000"/>
              </w:rPr>
              <w:t>wyjaśniania</w:t>
            </w:r>
            <w:r w:rsidRPr="007A7D4D">
              <w:rPr>
                <w:rFonts w:ascii="Calibri" w:hAnsi="Calibri" w:cs="Calibri"/>
                <w:bCs/>
              </w:rPr>
              <w:t xml:space="preserve"> jej znaczenia,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>dostrzegania kontekstu historycznego w utworach literackich</w:t>
            </w:r>
            <w:r w:rsidR="007A7D4D">
              <w:rPr>
                <w:rFonts w:ascii="Calibri" w:hAnsi="Calibri" w:cs="Calibri"/>
                <w:bCs/>
              </w:rPr>
              <w:t xml:space="preserve"> </w:t>
            </w:r>
            <w:r w:rsidRPr="007A7D4D">
              <w:rPr>
                <w:rFonts w:ascii="Calibri" w:hAnsi="Calibri" w:cs="Calibri"/>
                <w:bCs/>
              </w:rPr>
              <w:t>i</w:t>
            </w:r>
            <w:r w:rsidR="007A7D4D">
              <w:rPr>
                <w:rFonts w:ascii="Calibri" w:hAnsi="Calibri" w:cs="Calibri"/>
                <w:bCs/>
              </w:rPr>
              <w:t> </w:t>
            </w:r>
            <w:r w:rsidRPr="007A7D4D">
              <w:rPr>
                <w:rFonts w:ascii="Calibri" w:hAnsi="Calibri" w:cs="Calibri"/>
                <w:bCs/>
              </w:rPr>
              <w:t>uwzględniania go w interpretacji utworu,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>rozpoznawania charakterystycznych cech poszczególnych epok w dziejach kultury,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  <w:bCs/>
              </w:rPr>
            </w:pPr>
            <w:r w:rsidRPr="007A7D4D">
              <w:rPr>
                <w:rFonts w:ascii="Calibri" w:hAnsi="Calibri" w:cs="Calibri"/>
                <w:bCs/>
              </w:rPr>
              <w:t>oceniania postaci, faktów i wydarzeń historycznych,</w:t>
            </w:r>
          </w:p>
          <w:p w:rsidR="004668C4" w:rsidRPr="007A7D4D" w:rsidRDefault="00E012DE" w:rsidP="007A7D4D">
            <w:pPr>
              <w:pStyle w:val="Standard"/>
              <w:numPr>
                <w:ilvl w:val="0"/>
                <w:numId w:val="6"/>
              </w:numPr>
              <w:ind w:left="527" w:hanging="357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Cs/>
              </w:rPr>
              <w:t>tworzenia</w:t>
            </w:r>
            <w:r w:rsidRPr="007A7D4D">
              <w:rPr>
                <w:rFonts w:ascii="Calibri" w:hAnsi="Calibri" w:cs="Calibri"/>
                <w:color w:val="000000"/>
              </w:rPr>
              <w:t xml:space="preserve"> narracji historycznej i argumentowania własnego stanowiska.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8" w:type="dxa"/>
            <w:right w:w="108" w:type="dxa"/>
          </w:tblCellMar>
        </w:tblPrEx>
        <w:tc>
          <w:tcPr>
            <w:tcW w:w="101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lastRenderedPageBreak/>
              <w:t>II. Stopień rejonowy</w:t>
            </w:r>
          </w:p>
        </w:tc>
      </w:tr>
      <w:tr w:rsidR="004668C4" w:rsidRPr="007A7D4D" w:rsidTr="000A3EE5"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bCs/>
                <w:color w:val="000000"/>
              </w:rPr>
              <w:t>Od uczestnika konkursu wymagane są wiadomości i umiejętności ze</w:t>
            </w:r>
            <w:r w:rsidR="008A6CD0" w:rsidRPr="007A7D4D">
              <w:rPr>
                <w:rFonts w:ascii="Calibri" w:hAnsi="Calibri" w:cs="Calibri"/>
                <w:bCs/>
                <w:color w:val="000000"/>
              </w:rPr>
              <w:t> </w:t>
            </w:r>
            <w:r w:rsidRPr="007A7D4D">
              <w:rPr>
                <w:rFonts w:ascii="Calibri" w:hAnsi="Calibri" w:cs="Calibri"/>
                <w:bCs/>
                <w:color w:val="000000"/>
              </w:rPr>
              <w:t>stopnia szkolnego</w:t>
            </w:r>
            <w:r w:rsidRPr="007A7D4D">
              <w:rPr>
                <w:rFonts w:ascii="Calibri" w:hAnsi="Calibri" w:cs="Calibri"/>
                <w:color w:val="000000"/>
              </w:rPr>
              <w:t xml:space="preserve"> oraz wiadomości i umiejętności dotyczące następujących zagadnień:</w:t>
            </w:r>
          </w:p>
        </w:tc>
        <w:tc>
          <w:tcPr>
            <w:tcW w:w="32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widowControl w:val="0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Literatura określona dla stopnia szkolnego – w zakresie chronologicznym i tematycznym związanym z treściami kształcenia wymienionymi w kolumnach 1. i  2. dla stopni szkolnego i  rejonowego.</w:t>
            </w:r>
          </w:p>
          <w:p w:rsidR="004668C4" w:rsidRPr="007A7D4D" w:rsidRDefault="00E012DE" w:rsidP="007A7D4D">
            <w:pPr>
              <w:pStyle w:val="Akapitzlist"/>
              <w:keepNext/>
              <w:keepLines/>
              <w:widowControl w:val="0"/>
              <w:spacing w:after="0" w:line="240" w:lineRule="auto"/>
              <w:ind w:left="-12"/>
              <w:rPr>
                <w:rFonts w:ascii="Calibri" w:hAnsi="Calibri" w:cs="Calibri"/>
                <w:sz w:val="24"/>
                <w:szCs w:val="24"/>
              </w:rPr>
            </w:pPr>
            <w:r w:rsidRPr="007A7D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Ponadto – </w:t>
            </w:r>
            <w:r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w zakresie zagadnień wymienionych w kolumnie 1. </w:t>
            </w:r>
            <w:r w:rsidR="008A6CD0"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</w:t>
            </w:r>
            <w:r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</w:t>
            </w:r>
            <w:r w:rsidR="008A6CD0"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stopni szkolnego i rejonowego i oznaczonych pogrubioną czcionką </w:t>
            </w:r>
            <w:r w:rsidRPr="007A7D4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– podręczniki</w:t>
            </w:r>
            <w:r w:rsidRPr="007A7D4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7A7D4D">
              <w:rPr>
                <w:rFonts w:ascii="Calibri" w:hAnsi="Calibri" w:cs="Calibri"/>
                <w:sz w:val="24"/>
                <w:szCs w:val="24"/>
              </w:rPr>
              <w:t xml:space="preserve">do nauczania </w:t>
            </w:r>
            <w:r w:rsidRPr="007A7D4D">
              <w:rPr>
                <w:rFonts w:ascii="Calibri" w:hAnsi="Calibri" w:cs="Calibri"/>
                <w:color w:val="000000"/>
                <w:sz w:val="24"/>
                <w:szCs w:val="24"/>
              </w:rPr>
              <w:t>historii</w:t>
            </w:r>
            <w:r w:rsidRPr="007A7D4D">
              <w:rPr>
                <w:rFonts w:ascii="Calibri" w:hAnsi="Calibri" w:cs="Calibri"/>
                <w:sz w:val="24"/>
                <w:szCs w:val="24"/>
              </w:rPr>
              <w:t xml:space="preserve"> w zakresie rozszerzonym dopuszczone do użytku szkolnego w</w:t>
            </w:r>
            <w:r w:rsidR="008A6CD0" w:rsidRPr="007A7D4D">
              <w:rPr>
                <w:rFonts w:ascii="Calibri" w:hAnsi="Calibri" w:cs="Calibri"/>
                <w:sz w:val="24"/>
                <w:szCs w:val="24"/>
              </w:rPr>
              <w:t> </w:t>
            </w:r>
            <w:r w:rsidRPr="007A7D4D">
              <w:rPr>
                <w:rFonts w:ascii="Calibri" w:hAnsi="Calibri" w:cs="Calibri"/>
                <w:sz w:val="24"/>
                <w:szCs w:val="24"/>
              </w:rPr>
              <w:t>liceum ogólnokształcącym i</w:t>
            </w:r>
            <w:r w:rsidR="008A6CD0" w:rsidRPr="007A7D4D">
              <w:rPr>
                <w:rFonts w:ascii="Calibri" w:hAnsi="Calibri" w:cs="Calibri"/>
                <w:sz w:val="24"/>
                <w:szCs w:val="24"/>
              </w:rPr>
              <w:t> </w:t>
            </w:r>
            <w:r w:rsidRPr="007A7D4D">
              <w:rPr>
                <w:rFonts w:ascii="Calibri" w:hAnsi="Calibri" w:cs="Calibri"/>
                <w:sz w:val="24"/>
                <w:szCs w:val="24"/>
              </w:rPr>
              <w:t>technikum.</w:t>
            </w: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Postacie i wydarzenia o doniosłym znaczeniu dla</w:t>
            </w:r>
            <w:r w:rsidR="004B756E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kształtowania polskiej tożsamości kulturowej.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IV. 8-12 (kl. IV)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Europa w XVII i XVIII w.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XII. 2-4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color w:val="000000"/>
              </w:rPr>
              <w:t xml:space="preserve">Rzeczpospolita Obojga Narodów w I poł. XVIII w.       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XIII. 1-4</w:t>
            </w:r>
          </w:p>
        </w:tc>
        <w:tc>
          <w:tcPr>
            <w:tcW w:w="328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Powstanie Stanów Zjednoczonych.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XIV. 1-3</w:t>
            </w:r>
          </w:p>
        </w:tc>
        <w:tc>
          <w:tcPr>
            <w:tcW w:w="328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Wielka Rewolucja we Francji.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XV. 1-2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color w:val="000000"/>
              </w:rPr>
              <w:t>Rzeczpospolita w dobie stanisławowskiej.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XVI.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Walka o utrzymanie niepodległości w ostatnich latach XVIII w.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XVII.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Epoka napoleońska.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XVIII. 1-4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Europa po kongresie wiedeńskim.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XIX. 1-2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Ziemie polskie w latach 1815</w:t>
            </w:r>
            <w:r w:rsidR="004927E9" w:rsidRPr="007A7D4D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7A7D4D">
              <w:rPr>
                <w:rFonts w:ascii="Calibri" w:hAnsi="Calibri" w:cs="Calibri"/>
                <w:b/>
                <w:bCs/>
                <w:color w:val="000000"/>
              </w:rPr>
              <w:t>1848.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Europa w okresie Wiosny Ludów.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XXI. 1-2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Powstanie styczniowe.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XXII. 1, 3, 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Europa i świat w II połowie XIX i na początku XX wieku.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XXIII. 1-4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Ziemie polskie pod zaborami w II poł. XIX i</w:t>
            </w:r>
            <w:r w:rsidR="00884356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na</w:t>
            </w:r>
            <w:r w:rsidR="00884356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początku XX wieku.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XXIV. 1-6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I wojna światowa.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XXV.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2"/>
              </w:numPr>
              <w:ind w:left="52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Sprawa polska w czasie I wojny światowej.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XXVI.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Cs/>
                <w:color w:val="000000"/>
              </w:rPr>
              <w:t>Wiedza</w:t>
            </w:r>
            <w:r w:rsidRPr="007A7D4D">
              <w:rPr>
                <w:rFonts w:ascii="Calibri" w:hAnsi="Calibri" w:cs="Calibri"/>
                <w:bCs/>
              </w:rPr>
              <w:t xml:space="preserve"> merytoryczna uczniów powinna być poparta</w:t>
            </w:r>
            <w:r w:rsidRPr="007A7D4D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7A7D4D">
              <w:rPr>
                <w:rFonts w:ascii="Calibri" w:hAnsi="Calibri" w:cs="Calibri"/>
                <w:bCs/>
              </w:rPr>
              <w:t xml:space="preserve">określonymi </w:t>
            </w:r>
            <w:r w:rsidRPr="007A7D4D">
              <w:rPr>
                <w:rFonts w:ascii="Calibri" w:hAnsi="Calibri" w:cs="Calibri"/>
              </w:rPr>
              <w:t xml:space="preserve">dla stopnia szkolnego, a ponadto </w:t>
            </w:r>
            <w:r w:rsidRPr="007A7D4D">
              <w:rPr>
                <w:rFonts w:ascii="Calibri" w:hAnsi="Calibri" w:cs="Calibri"/>
                <w:color w:val="000000"/>
              </w:rPr>
              <w:t>krytycznym analizowaniem informacji uzyskanych z różnych źródeł (w tym kartograficznych), próbą wyciągania z nich wniosków.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A3EE5" w:rsidRDefault="000A3EE5">
      <w:r>
        <w:br w:type="page"/>
      </w:r>
      <w:bookmarkStart w:id="0" w:name="_GoBack"/>
      <w:bookmarkEnd w:id="0"/>
    </w:p>
    <w:tbl>
      <w:tblPr>
        <w:tblW w:w="0" w:type="auto"/>
        <w:tblInd w:w="-212" w:type="dxa"/>
        <w:tblLayout w:type="fixed"/>
        <w:tblLook w:val="0000" w:firstRow="0" w:lastRow="0" w:firstColumn="0" w:lastColumn="0" w:noHBand="0" w:noVBand="0"/>
      </w:tblPr>
      <w:tblGrid>
        <w:gridCol w:w="5370"/>
        <w:gridCol w:w="1500"/>
        <w:gridCol w:w="3280"/>
      </w:tblGrid>
      <w:tr w:rsidR="004668C4" w:rsidRPr="007A7D4D" w:rsidTr="000A3EE5">
        <w:tc>
          <w:tcPr>
            <w:tcW w:w="101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color w:val="000000"/>
              </w:rPr>
              <w:lastRenderedPageBreak/>
              <w:t>III. Stopień wojewódzki</w:t>
            </w: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rPr>
          <w:trHeight w:val="958"/>
        </w:trPr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8"/>
              </w:numPr>
              <w:ind w:left="238" w:hanging="238"/>
              <w:jc w:val="both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Od uczestnika konkursu wymagane są wiadomości i umiejętności ze</w:t>
            </w:r>
            <w:r w:rsidR="0089042B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stopni szkolnego i rejonowego oraz wiadomości i umiejętności dotyczące następujących zagadnień:</w:t>
            </w:r>
          </w:p>
        </w:tc>
        <w:tc>
          <w:tcPr>
            <w:tcW w:w="32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widowControl w:val="0"/>
              <w:rPr>
                <w:rStyle w:val="Hipercze"/>
                <w:rFonts w:ascii="Calibri" w:hAnsi="Calibri" w:cs="Calibri"/>
                <w:b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 xml:space="preserve">Literatura określona dla stopni szkolnego i rejonowego – w zakresie chronologicznym i tematycznym związanym z treściami kształcenia wymienionymi w kolumnach 1. i  2. dla wszystkich stopni konkursu. Ponadto – </w:t>
            </w:r>
            <w:r w:rsidRPr="007A7D4D">
              <w:rPr>
                <w:rFonts w:ascii="Calibri" w:hAnsi="Calibri" w:cs="Calibri"/>
                <w:b/>
                <w:color w:val="000000"/>
              </w:rPr>
              <w:t xml:space="preserve">w zakresie zagadnień wymienionych w kolumnie 1. </w:t>
            </w:r>
            <w:r w:rsidR="00364E6C" w:rsidRPr="007A7D4D">
              <w:rPr>
                <w:rFonts w:ascii="Calibri" w:hAnsi="Calibri" w:cs="Calibri"/>
                <w:b/>
                <w:color w:val="000000"/>
              </w:rPr>
              <w:t>d</w:t>
            </w:r>
            <w:r w:rsidRPr="007A7D4D">
              <w:rPr>
                <w:rFonts w:ascii="Calibri" w:hAnsi="Calibri" w:cs="Calibri"/>
                <w:b/>
                <w:color w:val="000000"/>
              </w:rPr>
              <w:t>la</w:t>
            </w:r>
            <w:r w:rsidR="00364E6C" w:rsidRPr="007A7D4D">
              <w:rPr>
                <w:rFonts w:ascii="Calibri" w:hAnsi="Calibri" w:cs="Calibri"/>
                <w:b/>
                <w:color w:val="000000"/>
              </w:rPr>
              <w:t> </w:t>
            </w:r>
            <w:r w:rsidRPr="007A7D4D">
              <w:rPr>
                <w:rFonts w:ascii="Calibri" w:hAnsi="Calibri" w:cs="Calibri"/>
                <w:b/>
                <w:color w:val="000000"/>
              </w:rPr>
              <w:t>wszystkich stopni konkursu i</w:t>
            </w:r>
            <w:r w:rsidR="00364E6C" w:rsidRPr="007A7D4D">
              <w:rPr>
                <w:rFonts w:ascii="Calibri" w:hAnsi="Calibri" w:cs="Calibri"/>
                <w:b/>
                <w:color w:val="000000"/>
              </w:rPr>
              <w:t> </w:t>
            </w:r>
            <w:r w:rsidRPr="007A7D4D">
              <w:rPr>
                <w:rFonts w:ascii="Calibri" w:hAnsi="Calibri" w:cs="Calibri"/>
                <w:b/>
                <w:color w:val="000000"/>
              </w:rPr>
              <w:t xml:space="preserve">oznaczonych pogrubioną czcionką </w:t>
            </w:r>
            <w:r w:rsidRPr="007A7D4D">
              <w:rPr>
                <w:rFonts w:ascii="Calibri" w:hAnsi="Calibri" w:cs="Calibri"/>
                <w:color w:val="000000"/>
              </w:rPr>
              <w:t>–</w:t>
            </w:r>
            <w:r w:rsidRPr="007A7D4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A7D4D">
              <w:rPr>
                <w:rFonts w:ascii="Calibri" w:hAnsi="Calibri" w:cs="Calibri"/>
                <w:color w:val="000000"/>
              </w:rPr>
              <w:t>podręczniki</w:t>
            </w:r>
            <w:r w:rsidRPr="007A7D4D"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Pr="007A7D4D">
              <w:rPr>
                <w:rFonts w:ascii="Calibri" w:hAnsi="Calibri" w:cs="Calibri"/>
              </w:rPr>
              <w:t xml:space="preserve">do nauczania </w:t>
            </w:r>
            <w:r w:rsidRPr="007A7D4D">
              <w:rPr>
                <w:rFonts w:ascii="Calibri" w:hAnsi="Calibri" w:cs="Calibri"/>
                <w:color w:val="000000"/>
              </w:rPr>
              <w:t>historii</w:t>
            </w:r>
            <w:r w:rsidRPr="007A7D4D">
              <w:rPr>
                <w:rFonts w:ascii="Calibri" w:hAnsi="Calibri" w:cs="Calibri"/>
              </w:rPr>
              <w:t xml:space="preserve"> w zakresie rozszerzonym dopuszczone do użytku szkolnego w</w:t>
            </w:r>
            <w:r w:rsidR="00364E6C" w:rsidRPr="007A7D4D">
              <w:rPr>
                <w:rFonts w:ascii="Calibri" w:hAnsi="Calibri" w:cs="Calibri"/>
              </w:rPr>
              <w:t> </w:t>
            </w:r>
            <w:r w:rsidRPr="007A7D4D">
              <w:rPr>
                <w:rFonts w:ascii="Calibri" w:hAnsi="Calibri" w:cs="Calibri"/>
              </w:rPr>
              <w:t xml:space="preserve">liceum ogólnokształcącym i technikum oraz link: </w:t>
            </w:r>
          </w:p>
          <w:p w:rsidR="004668C4" w:rsidRPr="007A7D4D" w:rsidRDefault="00E012DE" w:rsidP="007A7D4D">
            <w:pPr>
              <w:pStyle w:val="Standard"/>
              <w:widowControl w:val="0"/>
              <w:rPr>
                <w:rFonts w:ascii="Calibri" w:hAnsi="Calibri" w:cs="Calibri"/>
              </w:rPr>
            </w:pPr>
            <w:r w:rsidRPr="007A7D4D">
              <w:rPr>
                <w:rStyle w:val="Hipercze"/>
                <w:rFonts w:ascii="Calibri" w:hAnsi="Calibri" w:cs="Calibri"/>
                <w:b/>
                <w:color w:val="000000"/>
              </w:rPr>
              <w:t>https://przystanekhistoria.pl/pa2/tematy/gabriel-narutowicz/87706,Zycie-polityczne-w-Polsce-pierwszych-lat-niepodleglosci.html?search=11800511</w:t>
            </w:r>
          </w:p>
          <w:p w:rsidR="004668C4" w:rsidRPr="007A7D4D" w:rsidRDefault="004668C4" w:rsidP="007A7D4D">
            <w:pPr>
              <w:pStyle w:val="Standard"/>
              <w:widowControl w:val="0"/>
              <w:rPr>
                <w:rFonts w:ascii="Calibri" w:hAnsi="Calibri" w:cs="Calibri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Postacie i wydarzenia o doniosłym znaczeniu dla</w:t>
            </w:r>
            <w:r w:rsidR="000B74A1" w:rsidRPr="007A7D4D">
              <w:rPr>
                <w:rFonts w:ascii="Calibri" w:hAnsi="Calibri" w:cs="Calibri"/>
                <w:color w:val="000000"/>
              </w:rPr>
              <w:t> </w:t>
            </w:r>
            <w:r w:rsidRPr="007A7D4D">
              <w:rPr>
                <w:rFonts w:ascii="Calibri" w:hAnsi="Calibri" w:cs="Calibri"/>
                <w:color w:val="000000"/>
              </w:rPr>
              <w:t>kształtowania polskiej tożsamości kulturowej.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IV. 13</w:t>
            </w:r>
            <w:r w:rsidRPr="007A7D4D">
              <w:rPr>
                <w:rFonts w:ascii="Calibri" w:hAnsi="Calibri" w:cs="Calibri"/>
              </w:rPr>
              <w:t>-</w:t>
            </w:r>
            <w:r w:rsidRPr="007A7D4D">
              <w:rPr>
                <w:rFonts w:ascii="Calibri" w:hAnsi="Calibri" w:cs="Calibri"/>
                <w:color w:val="000000"/>
              </w:rPr>
              <w:t>17 (kl. IV)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Treści dodatkowe.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</w:rPr>
              <w:t>V. 1-11 (kl. IV)</w:t>
            </w:r>
          </w:p>
        </w:tc>
        <w:tc>
          <w:tcPr>
            <w:tcW w:w="328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Europa i świat po I wojnie światowej.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XXVII.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Odrodzenie państwa polskiego po I wojnie światowej.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XXVIII.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II Rzeczpospolita w latach 1921-1939.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XXIX.1-5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Społeczeństwo i gospodarka II Rzeczypospolitej.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XXX. 1-4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Droga do wojny.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XXXI.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Wojna obronna Polski we wrześniu 1939 r. Agresja Niemiec (1 września) i Związku Sowieckiego (17 września).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XXXII.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II wojna światowa i jej etapy.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XXXIII.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Polska pod okupacją niemiecką i sowiecką.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XXXIV. 1-5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rPr>
          <w:trHeight w:val="240"/>
        </w:trPr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Sprawa polska w czasie II wojny światowej.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b/>
                <w:bCs/>
                <w:color w:val="000000"/>
              </w:rPr>
              <w:t>XXXV.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Świat po II wojnie światowej.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XXXVI. 1-13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Początki komunizmu w Polsce.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XXXVII. 1-2</w:t>
            </w:r>
          </w:p>
        </w:tc>
        <w:tc>
          <w:tcPr>
            <w:tcW w:w="328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Stalinizm w Polsce i jego skutki.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XXXVIII.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rPr>
          <w:trHeight w:val="73"/>
        </w:trPr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Polska w latach 1957</w:t>
            </w:r>
            <w:r w:rsidR="002928B0" w:rsidRPr="007A7D4D">
              <w:rPr>
                <w:rFonts w:ascii="Calibri" w:hAnsi="Calibri" w:cs="Calibri"/>
                <w:color w:val="000000"/>
              </w:rPr>
              <w:t>-</w:t>
            </w:r>
            <w:r w:rsidRPr="007A7D4D">
              <w:rPr>
                <w:rFonts w:ascii="Calibri" w:hAnsi="Calibri" w:cs="Calibri"/>
                <w:color w:val="000000"/>
              </w:rPr>
              <w:t>1981.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keepNext/>
              <w:keepLines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XXXIX. 1-8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Dekada 1981</w:t>
            </w:r>
            <w:r w:rsidR="002928B0" w:rsidRPr="007A7D4D">
              <w:rPr>
                <w:rFonts w:ascii="Calibri" w:hAnsi="Calibri" w:cs="Calibri"/>
                <w:color w:val="000000"/>
              </w:rPr>
              <w:t>-</w:t>
            </w:r>
            <w:r w:rsidRPr="007A7D4D">
              <w:rPr>
                <w:rFonts w:ascii="Calibri" w:hAnsi="Calibri" w:cs="Calibri"/>
                <w:color w:val="000000"/>
              </w:rPr>
              <w:t>1989.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XL.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Narodziny III Rzeczypospolitej.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XLI.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53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="Calibri" w:hAnsi="Calibri" w:cs="Calibri"/>
                <w:color w:val="000000"/>
              </w:rPr>
            </w:pPr>
            <w:r w:rsidRPr="007A7D4D">
              <w:rPr>
                <w:rFonts w:ascii="Calibri" w:hAnsi="Calibri" w:cs="Calibri"/>
                <w:color w:val="000000"/>
              </w:rPr>
              <w:t>Miejsce Polski w świecie współczesnym.</w:t>
            </w:r>
          </w:p>
        </w:tc>
        <w:tc>
          <w:tcPr>
            <w:tcW w:w="15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suppressAutoHyphens w:val="0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XLII. 1-3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68C4" w:rsidRPr="007A7D4D" w:rsidTr="000A3EE5">
        <w:tblPrEx>
          <w:tblCellMar>
            <w:left w:w="10" w:type="dxa"/>
            <w:right w:w="10" w:type="dxa"/>
          </w:tblCellMar>
        </w:tblPrEx>
        <w:tc>
          <w:tcPr>
            <w:tcW w:w="68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68C4" w:rsidRPr="007A7D4D" w:rsidRDefault="00E012DE" w:rsidP="007A7D4D">
            <w:pPr>
              <w:pStyle w:val="Standard"/>
              <w:numPr>
                <w:ilvl w:val="0"/>
                <w:numId w:val="8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7A7D4D">
              <w:rPr>
                <w:rFonts w:ascii="Calibri" w:hAnsi="Calibri" w:cs="Calibri"/>
                <w:color w:val="000000"/>
              </w:rPr>
              <w:t>Wiedza</w:t>
            </w:r>
            <w:r w:rsidRPr="007A7D4D">
              <w:rPr>
                <w:rFonts w:ascii="Calibri" w:hAnsi="Calibri" w:cs="Calibri"/>
                <w:bCs/>
              </w:rPr>
              <w:t xml:space="preserve"> merytoryczna uczniów powinna być poparta</w:t>
            </w:r>
            <w:r w:rsidRPr="007A7D4D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7A7D4D">
              <w:rPr>
                <w:rFonts w:ascii="Calibri" w:hAnsi="Calibri" w:cs="Calibri"/>
                <w:bCs/>
              </w:rPr>
              <w:t xml:space="preserve">określonymi </w:t>
            </w:r>
            <w:r w:rsidRPr="007A7D4D">
              <w:rPr>
                <w:rFonts w:ascii="Calibri" w:hAnsi="Calibri" w:cs="Calibri"/>
              </w:rPr>
              <w:t>dla stopni szkolnego i rejonowego.</w:t>
            </w:r>
          </w:p>
        </w:tc>
        <w:tc>
          <w:tcPr>
            <w:tcW w:w="32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68C4" w:rsidRPr="007A7D4D" w:rsidRDefault="004668C4" w:rsidP="007A7D4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668C4" w:rsidRPr="007A7D4D" w:rsidRDefault="004668C4" w:rsidP="007A7D4D">
      <w:pPr>
        <w:pStyle w:val="Standard"/>
        <w:jc w:val="both"/>
        <w:rPr>
          <w:rFonts w:ascii="Calibri" w:hAnsi="Calibri" w:cs="Calibri"/>
        </w:rPr>
      </w:pPr>
    </w:p>
    <w:p w:rsidR="00777A43" w:rsidRPr="007A7D4D" w:rsidRDefault="00777A43" w:rsidP="007A7D4D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7A7D4D">
        <w:rPr>
          <w:rFonts w:cs="Calibri"/>
          <w:sz w:val="24"/>
          <w:szCs w:val="24"/>
        </w:rPr>
        <w:t xml:space="preserve">Na żadnym stopniu konkursu uczestnicy </w:t>
      </w:r>
      <w:r w:rsidRPr="007A7D4D">
        <w:rPr>
          <w:rFonts w:cs="Calibri"/>
          <w:b/>
          <w:sz w:val="24"/>
          <w:szCs w:val="24"/>
        </w:rPr>
        <w:t>nie mogą</w:t>
      </w:r>
      <w:r w:rsidRPr="007A7D4D">
        <w:rPr>
          <w:rFonts w:cs="Calibri"/>
          <w:sz w:val="24"/>
          <w:szCs w:val="24"/>
        </w:rPr>
        <w:t xml:space="preserve"> korzystać z materiałów edukacyjnych oraz innych niż długopisy przyborów pomocniczych.</w:t>
      </w:r>
    </w:p>
    <w:p w:rsidR="004668C4" w:rsidRPr="007A7D4D" w:rsidRDefault="004668C4" w:rsidP="007A7D4D">
      <w:pPr>
        <w:pStyle w:val="Standard"/>
        <w:rPr>
          <w:rFonts w:ascii="Calibri" w:hAnsi="Calibri" w:cs="Calibri"/>
        </w:rPr>
      </w:pPr>
    </w:p>
    <w:sectPr w:rsidR="004668C4" w:rsidRPr="007A7D4D" w:rsidSect="007A7D4D">
      <w:headerReference w:type="default" r:id="rId9"/>
      <w:footnotePr>
        <w:numFmt w:val="chicago"/>
      </w:footnotePr>
      <w:type w:val="continuous"/>
      <w:pgSz w:w="11906" w:h="16838"/>
      <w:pgMar w:top="1103" w:right="1080" w:bottom="1134" w:left="1080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48" w:rsidRDefault="00C01E48">
      <w:pPr>
        <w:spacing w:after="0" w:line="240" w:lineRule="auto"/>
      </w:pPr>
      <w:r>
        <w:separator/>
      </w:r>
    </w:p>
  </w:endnote>
  <w:endnote w:type="continuationSeparator" w:id="0">
    <w:p w:rsidR="00C01E48" w:rsidRDefault="00C0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48" w:rsidRDefault="00C01E48">
      <w:pPr>
        <w:spacing w:after="0" w:line="240" w:lineRule="auto"/>
      </w:pPr>
      <w:r>
        <w:separator/>
      </w:r>
    </w:p>
  </w:footnote>
  <w:footnote w:type="continuationSeparator" w:id="0">
    <w:p w:rsidR="00C01E48" w:rsidRDefault="00C01E48">
      <w:pPr>
        <w:spacing w:after="0" w:line="240" w:lineRule="auto"/>
      </w:pPr>
      <w:r>
        <w:continuationSeparator/>
      </w:r>
    </w:p>
  </w:footnote>
  <w:footnote w:id="1">
    <w:p w:rsidR="004668C4" w:rsidRDefault="00D27AB2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="00E012DE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614787">
        <w:rPr>
          <w:rFonts w:ascii="Calibri" w:hAnsi="Calibri" w:cs="Calibri"/>
          <w:bCs/>
          <w:color w:val="000000"/>
        </w:rPr>
        <w:t>(Dz. U. z 2017 r. poz. 356</w:t>
      </w:r>
      <w:r w:rsidR="00E012DE">
        <w:rPr>
          <w:rFonts w:ascii="Calibri" w:hAnsi="Calibri" w:cs="Calibri"/>
          <w:bCs/>
          <w:color w:val="000000"/>
        </w:rPr>
        <w:t xml:space="preserve"> z </w:t>
      </w:r>
      <w:proofErr w:type="spellStart"/>
      <w:r w:rsidR="00E012DE">
        <w:rPr>
          <w:rFonts w:ascii="Calibri" w:hAnsi="Calibri" w:cs="Calibri"/>
          <w:bCs/>
          <w:color w:val="000000"/>
        </w:rPr>
        <w:t>późn</w:t>
      </w:r>
      <w:proofErr w:type="spellEnd"/>
      <w:r w:rsidR="00E012DE">
        <w:rPr>
          <w:rFonts w:ascii="Calibri" w:hAnsi="Calibri" w:cs="Calibri"/>
          <w:bCs/>
          <w:color w:val="000000"/>
        </w:rPr>
        <w:t xml:space="preserve">. zm.); </w:t>
      </w:r>
      <w:r w:rsidR="00E012DE">
        <w:rPr>
          <w:rFonts w:ascii="Calibri" w:hAnsi="Calibri" w:cs="Calibri"/>
          <w:b/>
          <w:bCs/>
          <w:color w:val="000000"/>
        </w:rPr>
        <w:t>zadania wykraczające poza podstawę programową mogą obejmować inne treści szczegółowe niż wymienione w podstawie programowej,</w:t>
      </w:r>
      <w:r w:rsidR="00E012DE">
        <w:rPr>
          <w:rFonts w:ascii="Calibri" w:hAnsi="Calibri" w:cs="Calibri"/>
          <w:bCs/>
          <w:color w:val="000000"/>
        </w:rPr>
        <w:t xml:space="preserve"> ale </w:t>
      </w:r>
      <w:r w:rsidR="00E012DE">
        <w:rPr>
          <w:rFonts w:ascii="Calibri" w:hAnsi="Calibri" w:cs="Calibri"/>
          <w:b/>
          <w:bCs/>
          <w:color w:val="000000"/>
        </w:rPr>
        <w:t xml:space="preserve">muszą mieć związek z tymi zagadnieniami określonymi w podstawie programowej, które w tabeli zapisano wytłuszczoną czcionką, </w:t>
      </w:r>
      <w:r w:rsidR="00E012DE">
        <w:rPr>
          <w:rFonts w:ascii="Calibri" w:hAnsi="Calibri" w:cs="Calibri"/>
          <w:bCs/>
          <w:color w:val="000000"/>
        </w:rPr>
        <w:t>a ich rozwiązanie jest możliwe na podstawie informacji zawartych w wykazie literatury i tekstów internetowych obowiązujących uczestników oraz</w:t>
      </w:r>
      <w:r w:rsidR="00614787">
        <w:rPr>
          <w:rFonts w:ascii="Calibri" w:hAnsi="Calibri" w:cs="Calibri"/>
          <w:bCs/>
          <w:color w:val="000000"/>
        </w:rPr>
        <w:t> </w:t>
      </w:r>
      <w:r w:rsidR="00E012DE">
        <w:rPr>
          <w:rFonts w:ascii="Calibri" w:hAnsi="Calibri" w:cs="Calibri"/>
          <w:bCs/>
          <w:color w:val="000000"/>
        </w:rPr>
        <w:t xml:space="preserve">stanowiących pomoc dla nauczyciela.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C4" w:rsidRDefault="00C73AEF">
    <w:pPr>
      <w:pStyle w:val="Stopka"/>
      <w:pBdr>
        <w:bottom w:val="single" w:sz="4" w:space="1" w:color="000080"/>
      </w:pBdr>
      <w:tabs>
        <w:tab w:val="left" w:pos="708"/>
      </w:tabs>
      <w:jc w:val="center"/>
    </w:pPr>
    <w:r w:rsidRPr="00E777B2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Symbo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50789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DE"/>
    <w:rsid w:val="000A3EE5"/>
    <w:rsid w:val="000B74A1"/>
    <w:rsid w:val="000D12BD"/>
    <w:rsid w:val="001C0749"/>
    <w:rsid w:val="002928B0"/>
    <w:rsid w:val="00364E6C"/>
    <w:rsid w:val="003A0119"/>
    <w:rsid w:val="003F2C1B"/>
    <w:rsid w:val="00443185"/>
    <w:rsid w:val="004668C4"/>
    <w:rsid w:val="004927E9"/>
    <w:rsid w:val="004B756E"/>
    <w:rsid w:val="00614787"/>
    <w:rsid w:val="006E6359"/>
    <w:rsid w:val="00777A43"/>
    <w:rsid w:val="007A7D4D"/>
    <w:rsid w:val="00884356"/>
    <w:rsid w:val="0089042B"/>
    <w:rsid w:val="008A6CD0"/>
    <w:rsid w:val="0090439C"/>
    <w:rsid w:val="00916983"/>
    <w:rsid w:val="0097296E"/>
    <w:rsid w:val="00AA54DF"/>
    <w:rsid w:val="00C01E48"/>
    <w:rsid w:val="00C1315F"/>
    <w:rsid w:val="00C73AEF"/>
    <w:rsid w:val="00D27AB2"/>
    <w:rsid w:val="00D514E0"/>
    <w:rsid w:val="00E012DE"/>
    <w:rsid w:val="00E75083"/>
    <w:rsid w:val="00E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Symbol"/>
      <w:color w:val="000000"/>
      <w:sz w:val="24"/>
      <w:szCs w:val="24"/>
    </w:rPr>
  </w:style>
  <w:style w:type="character" w:customStyle="1" w:styleId="WW8Num3z0">
    <w:name w:val="WW8Num3z0"/>
    <w:rPr>
      <w:rFonts w:ascii="Calibri" w:hAnsi="Calibri" w:cs="Times New Roman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ymbol"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25z1">
    <w:name w:val="WW8NumSt25z1"/>
    <w:rPr>
      <w:i w:val="0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  <w:color w:val="000000"/>
      <w:sz w:val="24"/>
      <w:szCs w:val="24"/>
    </w:rPr>
  </w:style>
  <w:style w:type="character" w:customStyle="1" w:styleId="ListLabel4">
    <w:name w:val="ListLabel 4"/>
    <w:rPr>
      <w:bCs/>
      <w:sz w:val="24"/>
      <w:szCs w:val="24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widowControl w:val="0"/>
      <w:jc w:val="both"/>
    </w:pPr>
    <w:rPr>
      <w:b/>
      <w:sz w:val="28"/>
      <w:szCs w:val="20"/>
    </w:rPr>
  </w:style>
  <w:style w:type="paragraph" w:styleId="Tekstprzypisudolnego">
    <w:name w:val="footnote text"/>
    <w:basedOn w:val="Standard"/>
    <w:pPr>
      <w:spacing w:after="200" w:line="276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eastAsia="SimSun" w:cs="Mangal"/>
      <w:sz w:val="22"/>
      <w:szCs w:val="22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spacing w:after="200" w:line="276" w:lineRule="auto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Standard"/>
    <w:pPr>
      <w:ind w:left="720"/>
    </w:pPr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Symbol"/>
      <w:color w:val="000000"/>
      <w:sz w:val="24"/>
      <w:szCs w:val="24"/>
    </w:rPr>
  </w:style>
  <w:style w:type="character" w:customStyle="1" w:styleId="WW8Num3z0">
    <w:name w:val="WW8Num3z0"/>
    <w:rPr>
      <w:rFonts w:ascii="Calibri" w:hAnsi="Calibri" w:cs="Times New Roman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ymbol"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25z1">
    <w:name w:val="WW8NumSt25z1"/>
    <w:rPr>
      <w:i w:val="0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  <w:color w:val="000000"/>
      <w:sz w:val="24"/>
      <w:szCs w:val="24"/>
    </w:rPr>
  </w:style>
  <w:style w:type="character" w:customStyle="1" w:styleId="ListLabel4">
    <w:name w:val="ListLabel 4"/>
    <w:rPr>
      <w:bCs/>
      <w:sz w:val="24"/>
      <w:szCs w:val="24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widowControl w:val="0"/>
      <w:jc w:val="both"/>
    </w:pPr>
    <w:rPr>
      <w:b/>
      <w:sz w:val="28"/>
      <w:szCs w:val="20"/>
    </w:rPr>
  </w:style>
  <w:style w:type="paragraph" w:styleId="Tekstprzypisudolnego">
    <w:name w:val="footnote text"/>
    <w:basedOn w:val="Standard"/>
    <w:pPr>
      <w:spacing w:after="200" w:line="276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eastAsia="SimSun" w:cs="Mangal"/>
      <w:sz w:val="22"/>
      <w:szCs w:val="22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spacing w:after="200" w:line="276" w:lineRule="auto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Standard"/>
    <w:pPr>
      <w:ind w:left="720"/>
    </w:pPr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6D85-A8B1-4C13-9D5B-5B4A240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cp:lastPrinted>1900-12-31T22:00:00Z</cp:lastPrinted>
  <dcterms:created xsi:type="dcterms:W3CDTF">2022-09-15T06:12:00Z</dcterms:created>
  <dcterms:modified xsi:type="dcterms:W3CDTF">2022-09-22T07:34:00Z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