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5C" w:rsidRPr="00C74C6B" w:rsidRDefault="00314C5C" w:rsidP="00C74C6B">
      <w:pPr>
        <w:pStyle w:val="Nagwek1"/>
        <w:rPr>
          <w:rFonts w:ascii="Calibri" w:hAnsi="Calibri" w:cs="Calibri"/>
        </w:rPr>
      </w:pPr>
      <w:r w:rsidRPr="00C74C6B">
        <w:rPr>
          <w:rFonts w:ascii="Calibri" w:hAnsi="Calibri" w:cs="Calibri"/>
        </w:rPr>
        <w:t>Załącznik nr 2</w:t>
      </w:r>
    </w:p>
    <w:p w:rsidR="00853D69" w:rsidRPr="00C74C6B" w:rsidRDefault="00853D69" w:rsidP="00C74C6B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C74C6B">
        <w:rPr>
          <w:rFonts w:ascii="Calibri" w:hAnsi="Calibri" w:cs="Calibri"/>
          <w:smallCaps/>
          <w:sz w:val="24"/>
          <w:szCs w:val="24"/>
        </w:rPr>
        <w:t>Zakres wiedzy i umiejętności</w:t>
      </w:r>
    </w:p>
    <w:p w:rsidR="00853D69" w:rsidRPr="00C74C6B" w:rsidRDefault="00853D69" w:rsidP="00C74C6B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C74C6B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853D69" w:rsidRPr="00C74C6B" w:rsidRDefault="00853D69" w:rsidP="00C74C6B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C74C6B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A00964" w:rsidRPr="00C74C6B">
        <w:rPr>
          <w:rFonts w:ascii="Calibri" w:hAnsi="Calibri" w:cs="Calibri"/>
          <w:smallCaps/>
          <w:sz w:val="24"/>
          <w:szCs w:val="24"/>
        </w:rPr>
        <w:t>Biologicznego</w:t>
      </w:r>
    </w:p>
    <w:p w:rsidR="00853D69" w:rsidRPr="00C74C6B" w:rsidRDefault="00F62B89" w:rsidP="00C74C6B">
      <w:pPr>
        <w:jc w:val="center"/>
        <w:rPr>
          <w:rFonts w:ascii="Calibri" w:hAnsi="Calibri" w:cs="Calibri"/>
          <w:bCs/>
        </w:rPr>
      </w:pPr>
      <w:r w:rsidRPr="00C74C6B">
        <w:rPr>
          <w:rFonts w:ascii="Calibri" w:hAnsi="Calibri" w:cs="Calibri"/>
          <w:b/>
          <w:bCs/>
          <w:smallCaps/>
        </w:rPr>
        <w:t xml:space="preserve">organizowanego dla uczniów szkół podstawowych </w:t>
      </w:r>
      <w:r w:rsidR="00853D69" w:rsidRPr="00C74C6B">
        <w:rPr>
          <w:rFonts w:ascii="Calibri" w:hAnsi="Calibri" w:cs="Calibri"/>
          <w:b/>
          <w:bCs/>
          <w:smallCaps/>
        </w:rPr>
        <w:t>w roku szk. 202</w:t>
      </w:r>
      <w:r w:rsidR="003946EA" w:rsidRPr="00C74C6B">
        <w:rPr>
          <w:rFonts w:ascii="Calibri" w:hAnsi="Calibri" w:cs="Calibri"/>
          <w:b/>
          <w:bCs/>
          <w:smallCaps/>
        </w:rPr>
        <w:t>2</w:t>
      </w:r>
      <w:r w:rsidR="00853D69" w:rsidRPr="00C74C6B">
        <w:rPr>
          <w:rFonts w:ascii="Calibri" w:hAnsi="Calibri" w:cs="Calibri"/>
          <w:b/>
          <w:bCs/>
          <w:smallCaps/>
        </w:rPr>
        <w:t>/202</w:t>
      </w:r>
      <w:r w:rsidR="003946EA" w:rsidRPr="00C74C6B">
        <w:rPr>
          <w:rFonts w:ascii="Calibri" w:hAnsi="Calibri" w:cs="Calibri"/>
          <w:b/>
          <w:bCs/>
          <w:smallCaps/>
        </w:rPr>
        <w:t>3</w:t>
      </w:r>
    </w:p>
    <w:p w:rsidR="00853D69" w:rsidRPr="00C74C6B" w:rsidRDefault="00853D69" w:rsidP="00C74C6B">
      <w:pPr>
        <w:autoSpaceDE w:val="0"/>
        <w:jc w:val="both"/>
        <w:rPr>
          <w:rFonts w:ascii="Calibri" w:hAnsi="Calibri" w:cs="Calibri"/>
          <w:bCs/>
        </w:rPr>
      </w:pPr>
    </w:p>
    <w:p w:rsidR="0088582A" w:rsidRPr="00C74C6B" w:rsidRDefault="0088582A" w:rsidP="00C74C6B">
      <w:pPr>
        <w:jc w:val="both"/>
        <w:rPr>
          <w:rFonts w:ascii="Calibri" w:hAnsi="Calibri" w:cs="Calibri"/>
        </w:rPr>
      </w:pPr>
      <w:r w:rsidRPr="00C74C6B">
        <w:rPr>
          <w:rFonts w:ascii="Calibri" w:hAnsi="Calibri" w:cs="Calibri"/>
          <w:bCs/>
        </w:rPr>
        <w:t>Konkurs obejmuje i poszerza treści podstawy programowej z biologii</w:t>
      </w:r>
      <w:r w:rsidR="005D434F" w:rsidRPr="00C74C6B">
        <w:rPr>
          <w:rStyle w:val="Odwoanieprzypisudolnego"/>
          <w:rFonts w:ascii="Calibri" w:hAnsi="Calibri" w:cs="Calibri"/>
          <w:bCs/>
        </w:rPr>
        <w:footnoteReference w:id="1"/>
      </w:r>
      <w:r w:rsidRPr="00C74C6B">
        <w:rPr>
          <w:rFonts w:ascii="Calibri" w:hAnsi="Calibri" w:cs="Calibri"/>
          <w:bCs/>
        </w:rPr>
        <w:t xml:space="preserve"> w szkole podstawowej.</w:t>
      </w:r>
    </w:p>
    <w:p w:rsidR="00853D69" w:rsidRPr="00C74C6B" w:rsidRDefault="00853D69" w:rsidP="00C74C6B">
      <w:pPr>
        <w:autoSpaceDE w:val="0"/>
        <w:jc w:val="both"/>
        <w:rPr>
          <w:rFonts w:ascii="Calibri" w:hAnsi="Calibri" w:cs="Calibri"/>
          <w:b/>
          <w:bCs/>
        </w:rPr>
      </w:pPr>
    </w:p>
    <w:p w:rsidR="00F64D66" w:rsidRPr="00C74C6B" w:rsidRDefault="00F64D66" w:rsidP="00C74C6B">
      <w:pPr>
        <w:autoSpaceDE w:val="0"/>
        <w:jc w:val="center"/>
        <w:rPr>
          <w:rFonts w:ascii="Calibri" w:hAnsi="Calibri" w:cs="Calibri"/>
          <w:b/>
          <w:bCs/>
        </w:rPr>
      </w:pPr>
      <w:r w:rsidRPr="00C74C6B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13"/>
        <w:gridCol w:w="3234"/>
      </w:tblGrid>
      <w:tr w:rsidR="00F14228" w:rsidRPr="00C74C6B" w:rsidTr="00F62B89">
        <w:trPr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4228" w:rsidRPr="00C74C6B" w:rsidRDefault="00F14228" w:rsidP="00C74C6B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C74C6B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4228" w:rsidRPr="00C74C6B" w:rsidRDefault="00F14228" w:rsidP="00C74C6B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C74C6B">
              <w:rPr>
                <w:rFonts w:ascii="Calibri" w:hAnsi="Calibri" w:cs="Calibri"/>
                <w:b/>
              </w:rPr>
              <w:t>Treści nauczania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4228" w:rsidRPr="00C74C6B" w:rsidRDefault="00F14228" w:rsidP="00C74C6B">
            <w:pPr>
              <w:autoSpaceDE w:val="0"/>
              <w:jc w:val="center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F14228" w:rsidRPr="00C74C6B" w:rsidTr="00F62B89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4228" w:rsidRPr="00C74C6B" w:rsidRDefault="00F14228" w:rsidP="00C74C6B">
            <w:pPr>
              <w:numPr>
                <w:ilvl w:val="0"/>
                <w:numId w:val="17"/>
              </w:numPr>
              <w:autoSpaceDE w:val="0"/>
              <w:rPr>
                <w:rFonts w:ascii="Calibri" w:hAnsi="Calibri" w:cs="Calibri"/>
                <w:b/>
              </w:rPr>
            </w:pPr>
            <w:r w:rsidRPr="00C74C6B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25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  <w:lang w:eastAsia="en-US"/>
              </w:rPr>
            </w:pPr>
            <w:r w:rsidRPr="00C74C6B">
              <w:rPr>
                <w:rFonts w:ascii="Calibri" w:hAnsi="Calibri" w:cs="Calibri"/>
                <w:bCs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left="269" w:hanging="269"/>
              <w:rPr>
                <w:rFonts w:ascii="Calibri" w:hAnsi="Calibri" w:cs="Calibri"/>
                <w:sz w:val="24"/>
                <w:szCs w:val="24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>Podręczniki do nauczania biologii dopuszczone do</w:t>
            </w:r>
            <w:r w:rsidR="00970123" w:rsidRPr="00C74C6B">
              <w:rPr>
                <w:rFonts w:ascii="Calibri" w:hAnsi="Calibri" w:cs="Calibri"/>
                <w:sz w:val="24"/>
                <w:szCs w:val="24"/>
              </w:rPr>
              <w:t> </w:t>
            </w:r>
            <w:r w:rsidRPr="00C74C6B">
              <w:rPr>
                <w:rFonts w:ascii="Calibri" w:hAnsi="Calibri" w:cs="Calibri"/>
                <w:sz w:val="24"/>
                <w:szCs w:val="24"/>
              </w:rPr>
              <w:t>użytku w szkole podstawowej.</w:t>
            </w:r>
          </w:p>
          <w:p w:rsidR="00F14228" w:rsidRPr="00C74C6B" w:rsidRDefault="00F14228" w:rsidP="00C74C6B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left="269" w:hanging="269"/>
              <w:rPr>
                <w:rFonts w:ascii="Calibri" w:hAnsi="Calibri" w:cs="Calibri"/>
                <w:sz w:val="24"/>
                <w:szCs w:val="24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>Atlas anatomiczny, np.: Robert Stawarz –„Tajemnice ciała”, wyd. Nowa Era, 2017 r. (</w:t>
            </w:r>
            <w:r w:rsidRPr="00C74C6B">
              <w:rPr>
                <w:rFonts w:ascii="Calibri" w:hAnsi="Calibri" w:cs="Calibri"/>
                <w:bCs/>
                <w:sz w:val="24"/>
                <w:szCs w:val="24"/>
              </w:rPr>
              <w:t>powłoka ciała, układ szkieletowy, układ mięśniowy, układ pokarmowy, układ oddechowy, układ krążenia, odporność organizmu)</w:t>
            </w:r>
            <w:r w:rsidR="00970123" w:rsidRPr="00C74C6B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  <w:r w:rsidRPr="00C74C6B">
              <w:rPr>
                <w:rFonts w:ascii="Calibri" w:hAnsi="Calibri" w:cs="Calibri"/>
              </w:rPr>
              <w:t>Organizacja i chemizm życia.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I</w:t>
            </w:r>
            <w:r w:rsidR="00970123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  <w:r w:rsidRPr="00C74C6B">
              <w:rPr>
                <w:rFonts w:ascii="Calibri" w:hAnsi="Calibri" w:cs="Calibri"/>
              </w:rPr>
              <w:t>Różnorodność życia.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 xml:space="preserve">II.1 </w:t>
            </w:r>
            <w:r w:rsidR="00970123" w:rsidRPr="00C74C6B">
              <w:rPr>
                <w:rFonts w:ascii="Calibri" w:hAnsi="Calibri" w:cs="Calibri"/>
              </w:rPr>
              <w:t>–</w:t>
            </w:r>
            <w:r w:rsidRPr="00C74C6B">
              <w:rPr>
                <w:rFonts w:ascii="Calibri" w:hAnsi="Calibri" w:cs="Calibri"/>
              </w:rPr>
              <w:t xml:space="preserve"> II.7 </w:t>
            </w:r>
          </w:p>
          <w:p w:rsidR="00F14228" w:rsidRPr="00C74C6B" w:rsidRDefault="00F14228" w:rsidP="00C74C6B">
            <w:pPr>
              <w:autoSpaceDE w:val="0"/>
              <w:snapToGrid w:val="0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(z wyłączeniem II.5)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  <w:r w:rsidRPr="00C74C6B">
              <w:rPr>
                <w:rFonts w:ascii="Calibri" w:hAnsi="Calibri" w:cs="Calibri"/>
              </w:rPr>
              <w:t>Organizm człowieka.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 xml:space="preserve">III.1 </w:t>
            </w:r>
            <w:r w:rsidR="00970123" w:rsidRPr="00C74C6B">
              <w:rPr>
                <w:rFonts w:ascii="Calibri" w:hAnsi="Calibri" w:cs="Calibri"/>
              </w:rPr>
              <w:t>–</w:t>
            </w:r>
            <w:r w:rsidRPr="00C74C6B">
              <w:rPr>
                <w:rFonts w:ascii="Calibri" w:hAnsi="Calibri" w:cs="Calibri"/>
              </w:rPr>
              <w:t xml:space="preserve"> III.7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1" w:hanging="25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C6B">
              <w:rPr>
                <w:rFonts w:ascii="Calibri" w:hAnsi="Calibri" w:cs="Calibri"/>
                <w:bCs/>
                <w:sz w:val="24"/>
                <w:szCs w:val="24"/>
              </w:rPr>
              <w:t>Wiedza merytoryczna uczniów powinna być poparta</w:t>
            </w:r>
            <w:r w:rsidRPr="00C74C6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C74C6B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C74C6B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C74C6B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C74C6B">
              <w:rPr>
                <w:rFonts w:ascii="Calibri" w:hAnsi="Calibri" w:cs="Calibri"/>
                <w:sz w:val="24"/>
                <w:szCs w:val="24"/>
              </w:rPr>
              <w:t>):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676" w:hanging="425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Znajomość różnorodności biologicznej oraz podstawowych zjawisk i procesów biologicznych – I.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676" w:hanging="425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Posługiwanie się informacjami pochodzącymi z analizy materiałów źródłowych – III.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676" w:hanging="425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Rozumowanie i zastosowanie nabytej wiedzy do</w:t>
            </w:r>
            <w:r w:rsidR="00970123" w:rsidRPr="00C74C6B">
              <w:rPr>
                <w:rFonts w:ascii="Calibri" w:hAnsi="Calibri" w:cs="Calibri"/>
              </w:rPr>
              <w:t> </w:t>
            </w:r>
            <w:r w:rsidRPr="00C74C6B">
              <w:rPr>
                <w:rFonts w:ascii="Calibri" w:hAnsi="Calibri" w:cs="Calibri"/>
              </w:rPr>
              <w:t>rozwiązywania problemów biologicznych – IV.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676" w:hanging="425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Znajomość uwarunkowań zdrowia człowieka – V.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 xml:space="preserve">3. Wiadomości i umiejętności </w:t>
            </w:r>
            <w:r w:rsidRPr="00C74C6B">
              <w:rPr>
                <w:rFonts w:ascii="Calibri" w:hAnsi="Calibri" w:cs="Calibri"/>
                <w:b/>
              </w:rPr>
              <w:t>poszerzające treści</w:t>
            </w:r>
            <w:r w:rsidRPr="00C74C6B">
              <w:rPr>
                <w:rFonts w:ascii="Calibri" w:hAnsi="Calibri" w:cs="Calibri"/>
              </w:rPr>
              <w:t xml:space="preserve"> podstawy programowej</w:t>
            </w:r>
            <w:r w:rsidR="00970123" w:rsidRPr="00C74C6B">
              <w:rPr>
                <w:rFonts w:ascii="Calibri" w:hAnsi="Calibri" w:cs="Calibri"/>
              </w:rPr>
              <w:t>:</w:t>
            </w:r>
          </w:p>
          <w:p w:rsidR="00C74C6B" w:rsidRPr="00C74C6B" w:rsidRDefault="00F14228" w:rsidP="00C74C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35" w:hanging="284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Rozpoznawanie przedstawicie</w:t>
            </w:r>
            <w:r w:rsidR="006612C7" w:rsidRPr="00C74C6B">
              <w:rPr>
                <w:rFonts w:ascii="Calibri" w:hAnsi="Calibri" w:cs="Calibri"/>
              </w:rPr>
              <w:t>li</w:t>
            </w:r>
            <w:r w:rsidR="00A20DF3" w:rsidRPr="00C74C6B">
              <w:rPr>
                <w:rFonts w:ascii="Calibri" w:hAnsi="Calibri" w:cs="Calibri"/>
              </w:rPr>
              <w:t>:</w:t>
            </w:r>
            <w:r w:rsidR="000A1E4F" w:rsidRPr="00C74C6B">
              <w:rPr>
                <w:rFonts w:ascii="Calibri" w:hAnsi="Calibri" w:cs="Calibri"/>
              </w:rPr>
              <w:t xml:space="preserve"> </w:t>
            </w:r>
          </w:p>
          <w:p w:rsidR="00C74C6B" w:rsidRDefault="000A1E4F" w:rsidP="00C74C6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18" w:hanging="283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 xml:space="preserve">grzybów: </w:t>
            </w:r>
            <w:r w:rsidR="004B73DE" w:rsidRPr="00C74C6B">
              <w:rPr>
                <w:rFonts w:ascii="Calibri" w:hAnsi="Calibri" w:cs="Calibri"/>
              </w:rPr>
              <w:t xml:space="preserve">czubajka kania, muchomor sromotnikowy, </w:t>
            </w:r>
          </w:p>
          <w:p w:rsidR="00F14228" w:rsidRPr="00C74C6B" w:rsidRDefault="00B2441C" w:rsidP="00C74C6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18" w:hanging="283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>zwierząt: chełbia modra, stułb</w:t>
            </w:r>
            <w:r w:rsidR="008B78D4" w:rsidRPr="00C74C6B">
              <w:rPr>
                <w:rFonts w:ascii="Calibri" w:hAnsi="Calibri" w:cs="Calibri"/>
                <w:sz w:val="24"/>
                <w:szCs w:val="24"/>
              </w:rPr>
              <w:t xml:space="preserve">ia płowa, </w:t>
            </w:r>
            <w:r w:rsidRPr="00C74C6B">
              <w:rPr>
                <w:rFonts w:ascii="Calibri" w:hAnsi="Calibri" w:cs="Calibri"/>
                <w:sz w:val="24"/>
                <w:szCs w:val="24"/>
              </w:rPr>
              <w:t xml:space="preserve">dżdżownica ziemna, pijawka lekarska, rak stawowy, stonoga murowa, homar europejski, pąkle, wesz ludzka, pasikonik zielony, rusałka pawik, topik, </w:t>
            </w:r>
            <w:proofErr w:type="spellStart"/>
            <w:r w:rsidRPr="00C74C6B">
              <w:rPr>
                <w:rFonts w:ascii="Calibri" w:hAnsi="Calibri" w:cs="Calibri"/>
                <w:sz w:val="24"/>
                <w:szCs w:val="24"/>
              </w:rPr>
              <w:t>tygrzyk</w:t>
            </w:r>
            <w:proofErr w:type="spellEnd"/>
            <w:r w:rsidRPr="00C74C6B">
              <w:rPr>
                <w:rFonts w:ascii="Calibri" w:hAnsi="Calibri" w:cs="Calibri"/>
                <w:sz w:val="24"/>
                <w:szCs w:val="24"/>
              </w:rPr>
              <w:t xml:space="preserve"> paskowany, skorpion</w:t>
            </w:r>
            <w:r w:rsidR="006612C7" w:rsidRPr="00C74C6B">
              <w:rPr>
                <w:rFonts w:ascii="Calibri" w:hAnsi="Calibri" w:cs="Calibri"/>
                <w:sz w:val="24"/>
                <w:szCs w:val="24"/>
              </w:rPr>
              <w:t xml:space="preserve"> cesarski</w:t>
            </w:r>
            <w:r w:rsidRPr="00C74C6B">
              <w:rPr>
                <w:rFonts w:ascii="Calibri" w:hAnsi="Calibri" w:cs="Calibri"/>
                <w:sz w:val="24"/>
                <w:szCs w:val="24"/>
              </w:rPr>
              <w:t xml:space="preserve">, świerzbowiec, kleszcz pospolity, pomrów </w:t>
            </w:r>
            <w:r w:rsidR="004B73DE" w:rsidRPr="00C74C6B">
              <w:rPr>
                <w:rFonts w:ascii="Calibri" w:hAnsi="Calibri" w:cs="Calibri"/>
                <w:sz w:val="24"/>
                <w:szCs w:val="24"/>
              </w:rPr>
              <w:t>błękitny, racicznica zmienna, łosoś atlantycki</w:t>
            </w:r>
            <w:r w:rsidRPr="00C74C6B">
              <w:rPr>
                <w:rFonts w:ascii="Calibri" w:hAnsi="Calibri" w:cs="Calibri"/>
                <w:sz w:val="24"/>
                <w:szCs w:val="24"/>
              </w:rPr>
              <w:t>,</w:t>
            </w:r>
            <w:r w:rsidR="004B73DE" w:rsidRPr="00C74C6B">
              <w:rPr>
                <w:rFonts w:ascii="Calibri" w:hAnsi="Calibri" w:cs="Calibri"/>
                <w:sz w:val="24"/>
                <w:szCs w:val="24"/>
              </w:rPr>
              <w:t xml:space="preserve"> węgorz europejski, żaba moczarowa, salamandra plamista, traszka grzebieniasta, </w:t>
            </w:r>
            <w:r w:rsidR="004B73DE" w:rsidRPr="00C74C6B">
              <w:rPr>
                <w:rFonts w:ascii="Calibri" w:hAnsi="Calibri" w:cs="Calibri"/>
                <w:sz w:val="24"/>
                <w:szCs w:val="24"/>
              </w:rPr>
              <w:lastRenderedPageBreak/>
              <w:t>rzekotka drzewna, rodzime gatunki gadów, gawron</w:t>
            </w:r>
            <w:r w:rsidR="008A6EDF" w:rsidRPr="00C74C6B">
              <w:rPr>
                <w:rFonts w:ascii="Calibri" w:hAnsi="Calibri" w:cs="Calibri"/>
                <w:sz w:val="24"/>
                <w:szCs w:val="24"/>
              </w:rPr>
              <w:t>,</w:t>
            </w:r>
            <w:r w:rsidR="001A6603" w:rsidRPr="00C74C6B">
              <w:rPr>
                <w:rFonts w:ascii="Calibri" w:hAnsi="Calibri" w:cs="Calibri"/>
                <w:sz w:val="24"/>
                <w:szCs w:val="24"/>
              </w:rPr>
              <w:t xml:space="preserve"> kawka zwyczajna, dziobak australijski, kolczatka australijska, </w:t>
            </w:r>
            <w:r w:rsidR="007B73AC" w:rsidRPr="00C74C6B">
              <w:rPr>
                <w:rFonts w:ascii="Calibri" w:hAnsi="Calibri" w:cs="Calibri"/>
                <w:sz w:val="24"/>
                <w:szCs w:val="24"/>
              </w:rPr>
              <w:t>kangur rudy.</w:t>
            </w:r>
            <w:bookmarkStart w:id="0" w:name="_GoBack"/>
            <w:bookmarkEnd w:id="0"/>
          </w:p>
          <w:p w:rsidR="00C74C6B" w:rsidRDefault="004B73DE" w:rsidP="00C74C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35" w:hanging="284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 xml:space="preserve">Budowa wirusów, </w:t>
            </w:r>
            <w:r w:rsidR="009042C4" w:rsidRPr="00C74C6B">
              <w:rPr>
                <w:rFonts w:ascii="Calibri" w:hAnsi="Calibri" w:cs="Calibri"/>
              </w:rPr>
              <w:t>budowa komórki grzybowej</w:t>
            </w:r>
            <w:r w:rsidR="00F14228" w:rsidRPr="00C74C6B">
              <w:rPr>
                <w:rFonts w:ascii="Calibri" w:hAnsi="Calibri" w:cs="Calibri"/>
              </w:rPr>
              <w:t>.</w:t>
            </w:r>
          </w:p>
          <w:p w:rsidR="00C74C6B" w:rsidRPr="00C74C6B" w:rsidRDefault="00F14228" w:rsidP="00C74C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35" w:hanging="284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>Porosty – budowa i znaczenie.</w:t>
            </w:r>
          </w:p>
          <w:p w:rsidR="00C74C6B" w:rsidRPr="00C74C6B" w:rsidRDefault="00DF136B" w:rsidP="00C74C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35" w:hanging="284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 xml:space="preserve">Czynności życiowe grzybów – rozmnażanie. </w:t>
            </w:r>
          </w:p>
          <w:p w:rsidR="00F14228" w:rsidRPr="00C74C6B" w:rsidRDefault="00F14228" w:rsidP="00C74C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35" w:hanging="284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>Sposoby rozmnażania się i rozwój parzydełkowców</w:t>
            </w:r>
            <w:r w:rsidR="00AD7C5A" w:rsidRPr="00C74C6B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AD7C5A" w:rsidRPr="00C74C6B">
              <w:rPr>
                <w:rFonts w:ascii="Calibri" w:hAnsi="Calibri" w:cs="Calibri"/>
                <w:sz w:val="24"/>
                <w:szCs w:val="24"/>
              </w:rPr>
              <w:t>chełbi</w:t>
            </w:r>
            <w:proofErr w:type="spellEnd"/>
            <w:r w:rsidR="00AD7C5A" w:rsidRPr="00C74C6B">
              <w:rPr>
                <w:rFonts w:ascii="Calibri" w:hAnsi="Calibri" w:cs="Calibri"/>
                <w:sz w:val="24"/>
                <w:szCs w:val="24"/>
              </w:rPr>
              <w:t xml:space="preserve"> modrej, stułbi</w:t>
            </w:r>
            <w:r w:rsidR="009042C4" w:rsidRPr="00C74C6B">
              <w:rPr>
                <w:rFonts w:ascii="Calibri" w:hAnsi="Calibri" w:cs="Calibri"/>
                <w:sz w:val="24"/>
                <w:szCs w:val="24"/>
              </w:rPr>
              <w:t xml:space="preserve"> płowej)</w:t>
            </w:r>
            <w:r w:rsidRPr="00C74C6B">
              <w:rPr>
                <w:rFonts w:ascii="Calibri" w:hAnsi="Calibri" w:cs="Calibri"/>
                <w:sz w:val="24"/>
                <w:szCs w:val="24"/>
              </w:rPr>
              <w:t>, płazińców</w:t>
            </w:r>
            <w:r w:rsidR="009042C4" w:rsidRPr="00C74C6B">
              <w:rPr>
                <w:rFonts w:ascii="Calibri" w:hAnsi="Calibri" w:cs="Calibri"/>
                <w:sz w:val="24"/>
                <w:szCs w:val="24"/>
              </w:rPr>
              <w:t xml:space="preserve"> (tasiemca uzbrojonego)</w:t>
            </w:r>
            <w:r w:rsidRPr="00C74C6B">
              <w:rPr>
                <w:rFonts w:ascii="Calibri" w:hAnsi="Calibri" w:cs="Calibri"/>
                <w:sz w:val="24"/>
                <w:szCs w:val="24"/>
              </w:rPr>
              <w:t>, nicieni</w:t>
            </w:r>
            <w:r w:rsidR="009042C4" w:rsidRPr="00C74C6B">
              <w:rPr>
                <w:rFonts w:ascii="Calibri" w:hAnsi="Calibri" w:cs="Calibri"/>
                <w:sz w:val="24"/>
                <w:szCs w:val="24"/>
              </w:rPr>
              <w:t xml:space="preserve"> (glisty ludzkiej)</w:t>
            </w:r>
            <w:r w:rsidRPr="00C74C6B">
              <w:rPr>
                <w:rFonts w:ascii="Calibri" w:hAnsi="Calibri" w:cs="Calibri"/>
                <w:sz w:val="24"/>
                <w:szCs w:val="24"/>
              </w:rPr>
              <w:t>, pierścienic</w:t>
            </w:r>
            <w:r w:rsidR="009042C4" w:rsidRPr="00C74C6B">
              <w:rPr>
                <w:rFonts w:ascii="Calibri" w:hAnsi="Calibri" w:cs="Calibri"/>
                <w:sz w:val="24"/>
                <w:szCs w:val="24"/>
              </w:rPr>
              <w:t xml:space="preserve"> (dżdżownicy ziemnej)</w:t>
            </w:r>
            <w:r w:rsidR="00DF136B" w:rsidRPr="00C74C6B">
              <w:rPr>
                <w:rFonts w:ascii="Calibri" w:hAnsi="Calibri" w:cs="Calibri"/>
                <w:sz w:val="24"/>
                <w:szCs w:val="24"/>
              </w:rPr>
              <w:t>, owadów</w:t>
            </w:r>
            <w:r w:rsidR="005D25F2" w:rsidRPr="00C74C6B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5D25F2" w:rsidRPr="00C74C6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rozwój złożony z przeobrażaniem zupełnym i niezupełnym)</w:t>
            </w:r>
            <w:r w:rsidR="009042C4" w:rsidRPr="00C74C6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  <w:b/>
              </w:rPr>
            </w:pPr>
            <w:r w:rsidRPr="00C74C6B">
              <w:rPr>
                <w:rFonts w:ascii="Calibri" w:hAnsi="Calibri" w:cs="Calibri"/>
                <w:b/>
                <w:bCs/>
              </w:rPr>
              <w:lastRenderedPageBreak/>
              <w:t>Stopień rejonowy</w:t>
            </w: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8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C74C6B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269" w:hanging="269"/>
              <w:rPr>
                <w:rFonts w:ascii="Calibri" w:hAnsi="Calibri" w:cs="Calibri"/>
                <w:sz w:val="24"/>
                <w:szCs w:val="24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>Literatura określona dla</w:t>
            </w:r>
            <w:r w:rsidR="00A20DF3" w:rsidRPr="00C74C6B">
              <w:rPr>
                <w:rFonts w:ascii="Calibri" w:hAnsi="Calibri" w:cs="Calibri"/>
                <w:sz w:val="24"/>
                <w:szCs w:val="24"/>
              </w:rPr>
              <w:t> </w:t>
            </w:r>
            <w:r w:rsidRPr="00C74C6B">
              <w:rPr>
                <w:rFonts w:ascii="Calibri" w:hAnsi="Calibri" w:cs="Calibri"/>
                <w:sz w:val="24"/>
                <w:szCs w:val="24"/>
              </w:rPr>
              <w:t>stopnia szkolnego.</w:t>
            </w:r>
          </w:p>
          <w:p w:rsidR="00F14228" w:rsidRPr="00C74C6B" w:rsidRDefault="00F14228" w:rsidP="00C74C6B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269" w:hanging="269"/>
              <w:rPr>
                <w:rFonts w:ascii="Calibri" w:hAnsi="Calibri" w:cs="Calibri"/>
                <w:bCs/>
                <w:sz w:val="24"/>
                <w:szCs w:val="24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>Atlas anatomiczny, np.: Robert Stawarz –„Tajemnice ciała”, wyd. Nowa Era, 2017 r. (u</w:t>
            </w:r>
            <w:r w:rsidRPr="00C74C6B">
              <w:rPr>
                <w:rFonts w:ascii="Calibri" w:hAnsi="Calibri" w:cs="Calibri"/>
                <w:bCs/>
                <w:sz w:val="24"/>
                <w:szCs w:val="24"/>
              </w:rPr>
              <w:t>kład nerwowy, narządy zmysłów, układ hormonalny, układ rozrodczy)</w:t>
            </w:r>
            <w:r w:rsidR="00A20DF3" w:rsidRPr="00C74C6B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:rsidR="00F14228" w:rsidRPr="00C74C6B" w:rsidRDefault="00F14228" w:rsidP="00C74C6B">
            <w:pPr>
              <w:widowControl w:val="0"/>
              <w:ind w:left="269" w:hanging="269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Różnorodność życia</w:t>
            </w:r>
            <w:r w:rsidR="00A20DF3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II.5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Organizm człowieka</w:t>
            </w:r>
            <w:r w:rsidR="00A20DF3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 xml:space="preserve">III.8 </w:t>
            </w:r>
            <w:r w:rsidR="00A20DF3" w:rsidRPr="00C74C6B">
              <w:rPr>
                <w:rFonts w:ascii="Calibri" w:hAnsi="Calibri" w:cs="Calibri"/>
              </w:rPr>
              <w:t>–</w:t>
            </w:r>
            <w:r w:rsidRPr="00C74C6B">
              <w:rPr>
                <w:rFonts w:ascii="Calibri" w:hAnsi="Calibri" w:cs="Calibri"/>
              </w:rPr>
              <w:t xml:space="preserve"> III.12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  <w:bCs/>
              </w:rPr>
              <w:t>Homeostaza</w:t>
            </w:r>
            <w:r w:rsidR="00A20DF3" w:rsidRPr="00C74C6B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IV</w:t>
            </w:r>
            <w:r w:rsidR="00A20DF3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C6B">
              <w:rPr>
                <w:rFonts w:ascii="Calibri" w:hAnsi="Calibri" w:cs="Calibri"/>
                <w:bCs/>
                <w:sz w:val="24"/>
                <w:szCs w:val="24"/>
              </w:rPr>
              <w:t>Wiedza merytoryczna uczniów powinna być poparta</w:t>
            </w:r>
            <w:r w:rsidRPr="00C74C6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C74C6B"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 w:rsidRPr="00C74C6B">
              <w:rPr>
                <w:rFonts w:ascii="Calibri" w:hAnsi="Calibri" w:cs="Calibri"/>
                <w:sz w:val="24"/>
                <w:szCs w:val="24"/>
              </w:rPr>
              <w:t xml:space="preserve">dla stopnia szkolnego </w:t>
            </w:r>
            <w:r w:rsidRPr="00C74C6B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C74C6B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C74C6B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C74C6B">
              <w:rPr>
                <w:rFonts w:ascii="Calibri" w:hAnsi="Calibri" w:cs="Calibri"/>
                <w:sz w:val="24"/>
                <w:szCs w:val="24"/>
              </w:rPr>
              <w:t xml:space="preserve">), a ponadto: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24"/>
              </w:numPr>
              <w:ind w:left="676" w:hanging="425"/>
              <w:jc w:val="both"/>
              <w:rPr>
                <w:rFonts w:ascii="Calibri" w:hAnsi="Calibri" w:cs="Calibri"/>
                <w:bCs/>
                <w:kern w:val="1"/>
              </w:rPr>
            </w:pPr>
            <w:r w:rsidRPr="00C74C6B">
              <w:rPr>
                <w:rFonts w:ascii="Calibri" w:hAnsi="Calibri" w:cs="Calibri"/>
              </w:rPr>
              <w:t>Planowanie i przeprowadzanie obserwacji oraz doświadczeń; wnioskowanie w oparciu o ich wyniki – II.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tabs>
                <w:tab w:val="left" w:pos="222"/>
              </w:tabs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 xml:space="preserve">3. Wiadomości i umiejętności </w:t>
            </w:r>
            <w:r w:rsidRPr="00C74C6B">
              <w:rPr>
                <w:rFonts w:ascii="Calibri" w:hAnsi="Calibri" w:cs="Calibri"/>
                <w:b/>
              </w:rPr>
              <w:t>poszerzające treści</w:t>
            </w:r>
            <w:r w:rsidRPr="00C74C6B">
              <w:rPr>
                <w:rFonts w:ascii="Calibri" w:hAnsi="Calibri" w:cs="Calibri"/>
              </w:rPr>
              <w:t xml:space="preserve"> podstawy programowej:</w:t>
            </w:r>
          </w:p>
          <w:p w:rsidR="00C74C6B" w:rsidRDefault="00F14228" w:rsidP="00C74C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76" w:hanging="425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Budowa wewnętrzna korzenia, łodygi, liścia.</w:t>
            </w:r>
          </w:p>
          <w:p w:rsidR="00C74C6B" w:rsidRPr="00C74C6B" w:rsidRDefault="00B77E51" w:rsidP="00C74C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76" w:hanging="425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 xml:space="preserve">Cykl rozwojowy </w:t>
            </w:r>
            <w:r w:rsidR="001A0B68" w:rsidRPr="00C74C6B">
              <w:rPr>
                <w:rFonts w:ascii="Calibri" w:hAnsi="Calibri" w:cs="Calibri"/>
                <w:sz w:val="24"/>
                <w:szCs w:val="24"/>
              </w:rPr>
              <w:t xml:space="preserve">płonnika pospolitego, nerecznicy samczej, sosny zwyczajnej, </w:t>
            </w:r>
            <w:r w:rsidR="009F32D8" w:rsidRPr="00C74C6B">
              <w:rPr>
                <w:rFonts w:ascii="Calibri" w:hAnsi="Calibri" w:cs="Calibri"/>
                <w:sz w:val="24"/>
                <w:szCs w:val="24"/>
              </w:rPr>
              <w:t>wiśni pospolitej</w:t>
            </w:r>
            <w:r w:rsidR="00F14228" w:rsidRPr="00C74C6B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F14228" w:rsidRPr="00C74C6B" w:rsidRDefault="00F14228" w:rsidP="00C74C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76" w:hanging="425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>Rodzaje kwiatostanów</w:t>
            </w:r>
            <w:r w:rsidR="00B77E51" w:rsidRPr="00C74C6B">
              <w:rPr>
                <w:rFonts w:ascii="Calibri" w:hAnsi="Calibri" w:cs="Calibri"/>
                <w:sz w:val="24"/>
                <w:szCs w:val="24"/>
              </w:rPr>
              <w:t xml:space="preserve"> (główka, koszyczek, grono, kłos, wiecha, baldach)</w:t>
            </w:r>
            <w:r w:rsidRPr="00C74C6B">
              <w:rPr>
                <w:rFonts w:ascii="Calibri" w:hAnsi="Calibri" w:cs="Calibri"/>
                <w:sz w:val="24"/>
                <w:szCs w:val="24"/>
              </w:rPr>
              <w:t xml:space="preserve"> i owoców</w:t>
            </w:r>
            <w:r w:rsidR="00B77E51" w:rsidRPr="00C74C6B">
              <w:rPr>
                <w:rFonts w:ascii="Calibri" w:hAnsi="Calibri" w:cs="Calibri"/>
                <w:sz w:val="24"/>
                <w:szCs w:val="24"/>
              </w:rPr>
              <w:t xml:space="preserve"> (strąk, jagoda, pestkowiec, ziarniak, orzech</w:t>
            </w:r>
            <w:r w:rsidR="00FC4901" w:rsidRPr="00C74C6B">
              <w:rPr>
                <w:rFonts w:ascii="Calibri" w:hAnsi="Calibri" w:cs="Calibri"/>
                <w:sz w:val="24"/>
                <w:szCs w:val="24"/>
              </w:rPr>
              <w:t>)</w:t>
            </w:r>
            <w:r w:rsidRPr="00C74C6B">
              <w:rPr>
                <w:rFonts w:ascii="Calibri" w:hAnsi="Calibri" w:cs="Calibri"/>
                <w:sz w:val="24"/>
                <w:szCs w:val="24"/>
              </w:rPr>
              <w:t>, sposoby zapylania roślin i adaptacje w budowie kwiatu do tego procesu.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tabs>
                <w:tab w:val="left" w:pos="222"/>
              </w:tabs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7"/>
              </w:numPr>
              <w:autoSpaceDE w:val="0"/>
              <w:snapToGrid w:val="0"/>
              <w:rPr>
                <w:rFonts w:ascii="Calibri" w:hAnsi="Calibri" w:cs="Calibri"/>
                <w:b/>
              </w:rPr>
            </w:pPr>
            <w:r w:rsidRPr="00C74C6B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autoSpaceDE w:val="0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 xml:space="preserve">Literatura określona dla stopni szkolnego i rejonowego, </w:t>
            </w:r>
          </w:p>
          <w:p w:rsidR="00F14228" w:rsidRPr="00C74C6B" w:rsidRDefault="00F14228" w:rsidP="00C74C6B">
            <w:pPr>
              <w:autoSpaceDE w:val="0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 xml:space="preserve">a ponadto </w:t>
            </w:r>
            <w:r w:rsidRPr="00C74C6B">
              <w:rPr>
                <w:rFonts w:ascii="Calibri" w:hAnsi="Calibri" w:cs="Calibri"/>
                <w:u w:val="single"/>
              </w:rPr>
              <w:t>literatura niezbędna do opanowania wiedzy i</w:t>
            </w:r>
            <w:r w:rsidR="006B5735" w:rsidRPr="00C74C6B">
              <w:rPr>
                <w:rFonts w:ascii="Calibri" w:hAnsi="Calibri" w:cs="Calibri"/>
                <w:u w:val="single"/>
              </w:rPr>
              <w:t> </w:t>
            </w:r>
            <w:r w:rsidRPr="00C74C6B">
              <w:rPr>
                <w:rFonts w:ascii="Calibri" w:hAnsi="Calibri" w:cs="Calibri"/>
                <w:u w:val="single"/>
              </w:rPr>
              <w:t>umiejętności poszerzających treści podstawy programowej</w:t>
            </w:r>
            <w:r w:rsidR="006B5735" w:rsidRPr="00C74C6B">
              <w:rPr>
                <w:rFonts w:ascii="Calibri" w:hAnsi="Calibri" w:cs="Calibri"/>
                <w:u w:val="single"/>
              </w:rPr>
              <w:t xml:space="preserve"> </w:t>
            </w:r>
            <w:r w:rsidRPr="00C74C6B">
              <w:rPr>
                <w:rFonts w:ascii="Calibri" w:hAnsi="Calibri" w:cs="Calibri"/>
              </w:rPr>
              <w:t>–</w:t>
            </w:r>
          </w:p>
          <w:p w:rsidR="00F14228" w:rsidRPr="00C74C6B" w:rsidRDefault="00463BCC" w:rsidP="00C74C6B">
            <w:pPr>
              <w:shd w:val="clear" w:color="auto" w:fill="FFFFFF"/>
              <w:rPr>
                <w:rFonts w:ascii="Calibri" w:hAnsi="Calibri" w:cs="Calibri"/>
              </w:rPr>
            </w:pPr>
            <w:r w:rsidRPr="00C74C6B">
              <w:rPr>
                <w:rFonts w:ascii="Calibri" w:eastAsia="SimSun" w:hAnsi="Calibri" w:cs="Calibri"/>
                <w:kern w:val="1"/>
                <w:lang w:eastAsia="hi-IN" w:bidi="hi-IN"/>
              </w:rPr>
              <w:t>p</w:t>
            </w:r>
            <w:r w:rsidR="00F14228" w:rsidRPr="00C74C6B">
              <w:rPr>
                <w:rFonts w:ascii="Calibri" w:eastAsia="SimSun" w:hAnsi="Calibri" w:cs="Calibri"/>
                <w:kern w:val="1"/>
                <w:lang w:eastAsia="hi-IN" w:bidi="hi-IN"/>
              </w:rPr>
              <w:t>odręczniki do nauczania biologii dopuszczone do użytku w szkole ponadpodstawowej (liceum ogólnokształcące i</w:t>
            </w:r>
            <w:r w:rsidR="00433A3E" w:rsidRPr="00C74C6B">
              <w:rPr>
                <w:rFonts w:ascii="Calibri" w:eastAsia="SimSun" w:hAnsi="Calibri" w:cs="Calibri"/>
                <w:kern w:val="1"/>
                <w:lang w:eastAsia="hi-IN" w:bidi="hi-IN"/>
              </w:rPr>
              <w:t> </w:t>
            </w:r>
            <w:r w:rsidR="00F14228" w:rsidRPr="00C74C6B">
              <w:rPr>
                <w:rFonts w:ascii="Calibri" w:eastAsia="SimSun" w:hAnsi="Calibri" w:cs="Calibri"/>
                <w:kern w:val="1"/>
                <w:lang w:eastAsia="hi-IN" w:bidi="hi-IN"/>
              </w:rPr>
              <w:t>technikum)</w:t>
            </w:r>
            <w:r w:rsidR="006B5735" w:rsidRPr="00C74C6B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, </w:t>
            </w:r>
            <w:r w:rsidR="00F14228" w:rsidRPr="00C74C6B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np.:  </w:t>
            </w:r>
            <w:hyperlink r:id="rId9" w:tooltip="Jolanta Holeczek" w:history="1">
              <w:r w:rsidR="00F14228" w:rsidRPr="00C74C6B">
                <w:rPr>
                  <w:rFonts w:ascii="Calibri" w:hAnsi="Calibri" w:cs="Calibri"/>
                </w:rPr>
                <w:t>Jolanta Holeczek</w:t>
              </w:r>
            </w:hyperlink>
            <w:r w:rsidR="00F14228" w:rsidRPr="00C74C6B">
              <w:rPr>
                <w:rFonts w:ascii="Calibri" w:hAnsi="Calibri" w:cs="Calibri"/>
              </w:rPr>
              <w:t xml:space="preserve"> – „Biologia na czasie 3. Podręcznik dla liceum ogólnokształcącego i technikum. Zakres podstawowy”, wyd. </w:t>
            </w:r>
            <w:r w:rsidR="00F14228" w:rsidRPr="00C74C6B">
              <w:rPr>
                <w:rFonts w:ascii="Calibri" w:hAnsi="Calibri" w:cs="Calibri"/>
              </w:rPr>
              <w:lastRenderedPageBreak/>
              <w:t>Nowa Era, 2021</w:t>
            </w:r>
            <w:r w:rsidR="006B5735" w:rsidRPr="00C74C6B">
              <w:rPr>
                <w:rFonts w:ascii="Calibri" w:hAnsi="Calibri" w:cs="Calibri"/>
              </w:rPr>
              <w:t xml:space="preserve"> </w:t>
            </w:r>
            <w:r w:rsidR="00F14228" w:rsidRPr="00C74C6B">
              <w:rPr>
                <w:rFonts w:ascii="Calibri" w:hAnsi="Calibri" w:cs="Calibri"/>
              </w:rPr>
              <w:t>r.</w:t>
            </w: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Genetyka</w:t>
            </w:r>
            <w:r w:rsidR="00463BCC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V</w:t>
            </w:r>
            <w:r w:rsidR="00463BCC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Ewolucja życia</w:t>
            </w:r>
            <w:r w:rsidR="00463BCC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VI</w:t>
            </w:r>
            <w:r w:rsidR="00463BCC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Ekologia i ochrona środowiska</w:t>
            </w:r>
            <w:r w:rsidR="00463BCC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VII</w:t>
            </w:r>
            <w:r w:rsidR="00463BCC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Zagrożenia różnorodności biologicznej</w:t>
            </w:r>
            <w:r w:rsidR="00463BCC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>VIII</w:t>
            </w:r>
            <w:r w:rsidR="00463BCC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t xml:space="preserve">Wiadomości i umiejętności </w:t>
            </w:r>
            <w:r w:rsidRPr="00C74C6B">
              <w:rPr>
                <w:rFonts w:ascii="Calibri" w:hAnsi="Calibri" w:cs="Calibri"/>
                <w:b/>
              </w:rPr>
              <w:t>poszerzające treści</w:t>
            </w:r>
            <w:r w:rsidRPr="00C74C6B">
              <w:rPr>
                <w:rFonts w:ascii="Calibri" w:hAnsi="Calibri" w:cs="Calibri"/>
              </w:rPr>
              <w:t xml:space="preserve"> podstawy programowej w szkole podstawowej o </w:t>
            </w:r>
            <w:r w:rsidRPr="00C74C6B">
              <w:rPr>
                <w:rFonts w:ascii="Calibri" w:hAnsi="Calibri" w:cs="Calibri"/>
                <w:b/>
                <w:bCs/>
              </w:rPr>
              <w:t>treści z zakresu podstawy programowej w szkole ponadpodstawowej</w:t>
            </w:r>
            <w:r w:rsidRPr="00C74C6B">
              <w:rPr>
                <w:rFonts w:ascii="Calibri" w:hAnsi="Calibri" w:cs="Calibri"/>
              </w:rPr>
              <w:t>:</w:t>
            </w:r>
          </w:p>
          <w:p w:rsidR="00F14228" w:rsidRPr="00C74C6B" w:rsidRDefault="00F14228" w:rsidP="00C74C6B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>Kod genetyczny.</w:t>
            </w:r>
          </w:p>
          <w:p w:rsidR="00F14228" w:rsidRPr="00C74C6B" w:rsidRDefault="00F14228" w:rsidP="00C74C6B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C6B">
              <w:rPr>
                <w:rFonts w:ascii="Calibri" w:hAnsi="Calibri" w:cs="Calibri"/>
                <w:sz w:val="24"/>
                <w:szCs w:val="24"/>
              </w:rPr>
              <w:t>Ekspresja genów.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jc w:val="both"/>
              <w:rPr>
                <w:rFonts w:ascii="Calibri" w:hAnsi="Calibri" w:cs="Calibri"/>
                <w:bCs/>
                <w:kern w:val="1"/>
              </w:rPr>
            </w:pPr>
            <w:r w:rsidRPr="00C74C6B">
              <w:rPr>
                <w:rFonts w:ascii="Calibri" w:hAnsi="Calibri" w:cs="Calibri"/>
                <w:bCs/>
                <w:kern w:val="1"/>
              </w:rPr>
              <w:t>3.Wiedza merytoryczna uczniów powinna b</w:t>
            </w:r>
            <w:r w:rsidRPr="00C74C6B">
              <w:rPr>
                <w:rFonts w:ascii="Calibri" w:hAnsi="Calibri" w:cs="Calibri"/>
                <w:bCs/>
              </w:rPr>
              <w:t>yć poparta</w:t>
            </w:r>
            <w:r w:rsidRPr="00C74C6B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C74C6B">
              <w:rPr>
                <w:rFonts w:ascii="Calibri" w:hAnsi="Calibri" w:cs="Calibri"/>
                <w:bCs/>
              </w:rPr>
              <w:t xml:space="preserve">określonymi </w:t>
            </w:r>
            <w:r w:rsidRPr="00C74C6B">
              <w:rPr>
                <w:rFonts w:ascii="Calibri" w:hAnsi="Calibri" w:cs="Calibri"/>
              </w:rPr>
              <w:t xml:space="preserve">dla stopni szkolnego i rejonowego </w:t>
            </w:r>
            <w:r w:rsidRPr="00C74C6B">
              <w:rPr>
                <w:rFonts w:ascii="Calibri" w:hAnsi="Calibri" w:cs="Calibri"/>
                <w:bCs/>
              </w:rPr>
              <w:t>(</w:t>
            </w:r>
            <w:r w:rsidRPr="00C74C6B">
              <w:rPr>
                <w:rFonts w:ascii="Calibri" w:hAnsi="Calibri" w:cs="Calibri"/>
              </w:rPr>
              <w:t>na</w:t>
            </w:r>
            <w:r w:rsidR="00433A3E" w:rsidRPr="00C74C6B">
              <w:rPr>
                <w:rFonts w:ascii="Calibri" w:hAnsi="Calibri" w:cs="Calibri"/>
              </w:rPr>
              <w:t> </w:t>
            </w:r>
            <w:r w:rsidRPr="00C74C6B">
              <w:rPr>
                <w:rFonts w:ascii="Calibri" w:hAnsi="Calibri" w:cs="Calibri"/>
              </w:rPr>
              <w:t xml:space="preserve">podstawie celów kształcenia – wymagań ogólnych w </w:t>
            </w:r>
            <w:r w:rsidRPr="00C74C6B">
              <w:rPr>
                <w:rFonts w:ascii="Calibri" w:hAnsi="Calibri" w:cs="Calibri"/>
                <w:i/>
                <w:iCs/>
              </w:rPr>
              <w:t xml:space="preserve">podstawie </w:t>
            </w:r>
            <w:r w:rsidRPr="00C74C6B">
              <w:rPr>
                <w:rFonts w:ascii="Calibri" w:hAnsi="Calibri" w:cs="Calibri"/>
                <w:i/>
                <w:iCs/>
              </w:rPr>
              <w:lastRenderedPageBreak/>
              <w:t>programowej</w:t>
            </w:r>
            <w:r w:rsidRPr="00C74C6B">
              <w:rPr>
                <w:rFonts w:ascii="Calibri" w:hAnsi="Calibri" w:cs="Calibri"/>
              </w:rPr>
              <w:t>), a ponadto: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14228" w:rsidRPr="00C74C6B" w:rsidTr="00F62B89">
        <w:trPr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23"/>
              </w:numPr>
              <w:autoSpaceDE w:val="0"/>
              <w:snapToGrid w:val="0"/>
              <w:ind w:left="676" w:hanging="425"/>
              <w:rPr>
                <w:rFonts w:ascii="Calibri" w:hAnsi="Calibri" w:cs="Calibri"/>
              </w:rPr>
            </w:pPr>
            <w:r w:rsidRPr="00C74C6B">
              <w:rPr>
                <w:rFonts w:ascii="Calibri" w:hAnsi="Calibri" w:cs="Calibri"/>
              </w:rPr>
              <w:lastRenderedPageBreak/>
              <w:t>Postawa wobec przyrody i środowiska – VI</w:t>
            </w:r>
            <w:r w:rsidR="00433A3E" w:rsidRPr="00C74C6B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4228" w:rsidRPr="00C74C6B" w:rsidRDefault="00F14228" w:rsidP="00C74C6B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</w:tbl>
    <w:p w:rsidR="00853D69" w:rsidRPr="00C74C6B" w:rsidRDefault="00853D69" w:rsidP="00C74C6B">
      <w:pPr>
        <w:autoSpaceDE w:val="0"/>
        <w:jc w:val="both"/>
        <w:rPr>
          <w:rFonts w:ascii="Calibri" w:hAnsi="Calibri" w:cs="Calibri"/>
        </w:rPr>
      </w:pPr>
    </w:p>
    <w:p w:rsidR="005253BA" w:rsidRPr="00C74C6B" w:rsidRDefault="00A67844" w:rsidP="00C74C6B">
      <w:pPr>
        <w:autoSpaceDE w:val="0"/>
        <w:jc w:val="both"/>
        <w:rPr>
          <w:rFonts w:ascii="Calibri" w:hAnsi="Calibri" w:cs="Calibri"/>
        </w:rPr>
      </w:pPr>
      <w:r w:rsidRPr="00C74C6B">
        <w:rPr>
          <w:rFonts w:ascii="Calibri" w:hAnsi="Calibri" w:cs="Calibri"/>
        </w:rPr>
        <w:t xml:space="preserve">Na </w:t>
      </w:r>
      <w:r w:rsidR="002E0E89" w:rsidRPr="00C74C6B">
        <w:rPr>
          <w:rFonts w:ascii="Calibri" w:hAnsi="Calibri" w:cs="Calibri"/>
        </w:rPr>
        <w:t xml:space="preserve">żadnym </w:t>
      </w:r>
      <w:r w:rsidRPr="00C74C6B">
        <w:rPr>
          <w:rFonts w:ascii="Calibri" w:hAnsi="Calibri" w:cs="Calibri"/>
        </w:rPr>
        <w:t xml:space="preserve">stopniu konkursu uczestnicy </w:t>
      </w:r>
      <w:r w:rsidRPr="00C74C6B">
        <w:rPr>
          <w:rFonts w:ascii="Calibri" w:hAnsi="Calibri" w:cs="Calibri"/>
          <w:b/>
        </w:rPr>
        <w:t>nie mogą</w:t>
      </w:r>
      <w:r w:rsidRPr="00C74C6B">
        <w:rPr>
          <w:rFonts w:ascii="Calibri" w:hAnsi="Calibri" w:cs="Calibri"/>
        </w:rPr>
        <w:t xml:space="preserve"> korzystać z</w:t>
      </w:r>
      <w:r w:rsidR="003352AE" w:rsidRPr="00C74C6B">
        <w:rPr>
          <w:rFonts w:ascii="Calibri" w:hAnsi="Calibri" w:cs="Calibri"/>
        </w:rPr>
        <w:t xml:space="preserve"> materiałów edukacyjnych oraz innych niż długopisy </w:t>
      </w:r>
      <w:r w:rsidR="00F47C51" w:rsidRPr="00C74C6B">
        <w:rPr>
          <w:rFonts w:ascii="Calibri" w:hAnsi="Calibri" w:cs="Calibri"/>
        </w:rPr>
        <w:t>przyborów pomocniczych.</w:t>
      </w:r>
    </w:p>
    <w:p w:rsidR="00EC478D" w:rsidRPr="00C74C6B" w:rsidRDefault="00EC478D" w:rsidP="00C74C6B">
      <w:pPr>
        <w:autoSpaceDE w:val="0"/>
        <w:jc w:val="both"/>
        <w:rPr>
          <w:rFonts w:ascii="Calibri" w:hAnsi="Calibri" w:cs="Calibri"/>
        </w:rPr>
      </w:pPr>
    </w:p>
    <w:sectPr w:rsidR="00EC478D" w:rsidRPr="00C74C6B" w:rsidSect="00C74C6B">
      <w:headerReference w:type="default" r:id="rId10"/>
      <w:footnotePr>
        <w:numFmt w:val="chicago"/>
      </w:footnotePr>
      <w:pgSz w:w="11906" w:h="16838"/>
      <w:pgMar w:top="1103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28" w:rsidRDefault="00DD0028" w:rsidP="00853D69">
      <w:r>
        <w:separator/>
      </w:r>
    </w:p>
  </w:endnote>
  <w:endnote w:type="continuationSeparator" w:id="0">
    <w:p w:rsidR="00DD0028" w:rsidRDefault="00DD0028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28" w:rsidRDefault="00DD0028" w:rsidP="00853D69">
      <w:r>
        <w:separator/>
      </w:r>
    </w:p>
  </w:footnote>
  <w:footnote w:type="continuationSeparator" w:id="0">
    <w:p w:rsidR="00DD0028" w:rsidRDefault="00DD0028" w:rsidP="00853D69">
      <w:r>
        <w:continuationSeparator/>
      </w:r>
    </w:p>
  </w:footnote>
  <w:footnote w:id="1">
    <w:p w:rsidR="005D434F" w:rsidRDefault="005D434F" w:rsidP="000F69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Cs/>
          <w:i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</w:t>
      </w:r>
      <w:r w:rsidR="000F691F">
        <w:rPr>
          <w:rFonts w:ascii="Calibri" w:hAnsi="Calibri" w:cs="Calibri"/>
          <w:bCs/>
          <w:i/>
          <w:color w:val="000000"/>
        </w:rPr>
        <w:t> </w:t>
      </w:r>
      <w:r>
        <w:rPr>
          <w:rFonts w:ascii="Calibri" w:hAnsi="Calibri" w:cs="Calibri"/>
          <w:bCs/>
          <w:i/>
          <w:color w:val="000000"/>
        </w:rPr>
        <w:t xml:space="preserve">szkoły policealnej </w:t>
      </w:r>
      <w:r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>
        <w:rPr>
          <w:rFonts w:ascii="Calibri" w:hAnsi="Calibri" w:cs="Calibri"/>
          <w:bCs/>
          <w:color w:val="000000"/>
        </w:rPr>
        <w:t>późn</w:t>
      </w:r>
      <w:proofErr w:type="spellEnd"/>
      <w:r>
        <w:rPr>
          <w:rFonts w:ascii="Calibri" w:hAnsi="Calibri" w:cs="Calibri"/>
          <w:bCs/>
          <w:color w:val="000000"/>
        </w:rPr>
        <w:t>. zm.); zadania wykraczające poza podstawę programową mogą obejmować inne treści szczegółowe niż wymienione w podstawie programowej, ale ich rozwiązanie jest możliwe na</w:t>
      </w:r>
      <w:r w:rsidR="000F691F">
        <w:rPr>
          <w:rFonts w:ascii="Calibri" w:hAnsi="Calibri" w:cs="Calibri"/>
          <w:bCs/>
          <w:color w:val="000000"/>
        </w:rPr>
        <w:t> </w:t>
      </w:r>
      <w:r>
        <w:rPr>
          <w:rFonts w:ascii="Calibri" w:hAnsi="Calibri" w:cs="Calibri"/>
          <w:bCs/>
          <w:color w:val="000000"/>
        </w:rPr>
        <w:t>podstawie informacji zawartych w zalecanej literaturze.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5" w:rsidRPr="00E51C59" w:rsidRDefault="00676E2C" w:rsidP="000B564C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E51C59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7"/>
    <w:multiLevelType w:val="multilevel"/>
    <w:tmpl w:val="410E4B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5">
    <w:nsid w:val="02052082"/>
    <w:multiLevelType w:val="hybridMultilevel"/>
    <w:tmpl w:val="7D001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27F39"/>
    <w:multiLevelType w:val="hybridMultilevel"/>
    <w:tmpl w:val="23A2400A"/>
    <w:lvl w:ilvl="0" w:tplc="A2201C46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>
    <w:nsid w:val="047B1AC7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>
    <w:nsid w:val="09DE3C30"/>
    <w:multiLevelType w:val="hybridMultilevel"/>
    <w:tmpl w:val="71765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13C11"/>
    <w:multiLevelType w:val="hybridMultilevel"/>
    <w:tmpl w:val="B8924BD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>
    <w:nsid w:val="21CA741C"/>
    <w:multiLevelType w:val="hybridMultilevel"/>
    <w:tmpl w:val="D91C9318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389"/>
    <w:multiLevelType w:val="hybridMultilevel"/>
    <w:tmpl w:val="E6FA8B0C"/>
    <w:lvl w:ilvl="0" w:tplc="519C207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53252"/>
    <w:multiLevelType w:val="hybridMultilevel"/>
    <w:tmpl w:val="A4CA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D1812"/>
    <w:multiLevelType w:val="hybridMultilevel"/>
    <w:tmpl w:val="4358F6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46C3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18">
    <w:nsid w:val="3C5543A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9">
    <w:nsid w:val="400A7B49"/>
    <w:multiLevelType w:val="hybridMultilevel"/>
    <w:tmpl w:val="1924C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A520B"/>
    <w:multiLevelType w:val="hybridMultilevel"/>
    <w:tmpl w:val="06E866E6"/>
    <w:lvl w:ilvl="0" w:tplc="E02204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90291"/>
    <w:multiLevelType w:val="hybridMultilevel"/>
    <w:tmpl w:val="4358F6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06010"/>
    <w:multiLevelType w:val="hybridMultilevel"/>
    <w:tmpl w:val="EFA2CB7A"/>
    <w:lvl w:ilvl="0" w:tplc="04150011">
      <w:start w:val="1"/>
      <w:numFmt w:val="decimal"/>
      <w:lvlText w:val="%1)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5">
    <w:nsid w:val="5D7B7DD2"/>
    <w:multiLevelType w:val="hybridMultilevel"/>
    <w:tmpl w:val="D91C9318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6">
    <w:nsid w:val="63ED4FF7"/>
    <w:multiLevelType w:val="hybridMultilevel"/>
    <w:tmpl w:val="BF64D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96F5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30">
    <w:nsid w:val="712D1431"/>
    <w:multiLevelType w:val="hybridMultilevel"/>
    <w:tmpl w:val="B8924BD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1">
    <w:nsid w:val="75C83ED1"/>
    <w:multiLevelType w:val="hybridMultilevel"/>
    <w:tmpl w:val="1960C8FC"/>
    <w:lvl w:ilvl="0" w:tplc="B6DE1AF4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2">
    <w:nsid w:val="795160E9"/>
    <w:multiLevelType w:val="hybridMultilevel"/>
    <w:tmpl w:val="BF64D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32"/>
  </w:num>
  <w:num w:numId="9">
    <w:abstractNumId w:val="13"/>
  </w:num>
  <w:num w:numId="10">
    <w:abstractNumId w:val="28"/>
  </w:num>
  <w:num w:numId="11">
    <w:abstractNumId w:val="20"/>
  </w:num>
  <w:num w:numId="12">
    <w:abstractNumId w:val="10"/>
  </w:num>
  <w:num w:numId="13">
    <w:abstractNumId w:val="27"/>
  </w:num>
  <w:num w:numId="14">
    <w:abstractNumId w:val="11"/>
  </w:num>
  <w:num w:numId="15">
    <w:abstractNumId w:val="30"/>
  </w:num>
  <w:num w:numId="16">
    <w:abstractNumId w:val="22"/>
  </w:num>
  <w:num w:numId="17">
    <w:abstractNumId w:val="33"/>
  </w:num>
  <w:num w:numId="18">
    <w:abstractNumId w:val="18"/>
  </w:num>
  <w:num w:numId="19">
    <w:abstractNumId w:val="29"/>
  </w:num>
  <w:num w:numId="20">
    <w:abstractNumId w:val="17"/>
  </w:num>
  <w:num w:numId="21">
    <w:abstractNumId w:val="9"/>
  </w:num>
  <w:num w:numId="22">
    <w:abstractNumId w:val="25"/>
  </w:num>
  <w:num w:numId="23">
    <w:abstractNumId w:val="7"/>
  </w:num>
  <w:num w:numId="24">
    <w:abstractNumId w:val="2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19"/>
  </w:num>
  <w:num w:numId="29">
    <w:abstractNumId w:val="21"/>
  </w:num>
  <w:num w:numId="30">
    <w:abstractNumId w:val="6"/>
  </w:num>
  <w:num w:numId="31">
    <w:abstractNumId w:val="15"/>
  </w:num>
  <w:num w:numId="32">
    <w:abstractNumId w:val="8"/>
  </w:num>
  <w:num w:numId="33">
    <w:abstractNumId w:val="16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33EC8"/>
    <w:rsid w:val="00050D57"/>
    <w:rsid w:val="00083297"/>
    <w:rsid w:val="00086864"/>
    <w:rsid w:val="000A1E4F"/>
    <w:rsid w:val="000B564C"/>
    <w:rsid w:val="000F5CBA"/>
    <w:rsid w:val="000F691F"/>
    <w:rsid w:val="00136B31"/>
    <w:rsid w:val="001640F5"/>
    <w:rsid w:val="0017103C"/>
    <w:rsid w:val="00187BC0"/>
    <w:rsid w:val="001A0B68"/>
    <w:rsid w:val="001A6603"/>
    <w:rsid w:val="001A6A98"/>
    <w:rsid w:val="001F49B8"/>
    <w:rsid w:val="002014B5"/>
    <w:rsid w:val="00215471"/>
    <w:rsid w:val="00220108"/>
    <w:rsid w:val="002563DF"/>
    <w:rsid w:val="002873E3"/>
    <w:rsid w:val="002955D2"/>
    <w:rsid w:val="002E0E89"/>
    <w:rsid w:val="00302FFA"/>
    <w:rsid w:val="0030573A"/>
    <w:rsid w:val="00312A9C"/>
    <w:rsid w:val="00314C5C"/>
    <w:rsid w:val="0031724A"/>
    <w:rsid w:val="003352AE"/>
    <w:rsid w:val="00341B25"/>
    <w:rsid w:val="0035197B"/>
    <w:rsid w:val="0038464D"/>
    <w:rsid w:val="003946EA"/>
    <w:rsid w:val="003959B4"/>
    <w:rsid w:val="003B5DF4"/>
    <w:rsid w:val="003E3294"/>
    <w:rsid w:val="00415944"/>
    <w:rsid w:val="00431797"/>
    <w:rsid w:val="00433A3E"/>
    <w:rsid w:val="004561B5"/>
    <w:rsid w:val="004571CC"/>
    <w:rsid w:val="00463BCC"/>
    <w:rsid w:val="00482889"/>
    <w:rsid w:val="004A7611"/>
    <w:rsid w:val="004B29C2"/>
    <w:rsid w:val="004B7216"/>
    <w:rsid w:val="004B73DE"/>
    <w:rsid w:val="004D06A0"/>
    <w:rsid w:val="005253BA"/>
    <w:rsid w:val="00535FCC"/>
    <w:rsid w:val="00571AAB"/>
    <w:rsid w:val="005D25F2"/>
    <w:rsid w:val="005D434F"/>
    <w:rsid w:val="005E378B"/>
    <w:rsid w:val="00621051"/>
    <w:rsid w:val="006612C7"/>
    <w:rsid w:val="00676E2C"/>
    <w:rsid w:val="006A5817"/>
    <w:rsid w:val="006B5735"/>
    <w:rsid w:val="006C1794"/>
    <w:rsid w:val="006D1904"/>
    <w:rsid w:val="00707C57"/>
    <w:rsid w:val="00713BF3"/>
    <w:rsid w:val="00730F59"/>
    <w:rsid w:val="00746D8E"/>
    <w:rsid w:val="00786A2E"/>
    <w:rsid w:val="007A2664"/>
    <w:rsid w:val="007B73AC"/>
    <w:rsid w:val="00842C05"/>
    <w:rsid w:val="00853D69"/>
    <w:rsid w:val="00853E9F"/>
    <w:rsid w:val="008715A7"/>
    <w:rsid w:val="0088582A"/>
    <w:rsid w:val="008A6EDF"/>
    <w:rsid w:val="008B78D4"/>
    <w:rsid w:val="008D53AD"/>
    <w:rsid w:val="008E7DC4"/>
    <w:rsid w:val="009042C4"/>
    <w:rsid w:val="009548FB"/>
    <w:rsid w:val="00970123"/>
    <w:rsid w:val="009825AE"/>
    <w:rsid w:val="009936CE"/>
    <w:rsid w:val="009E47DF"/>
    <w:rsid w:val="009F32D8"/>
    <w:rsid w:val="009F571C"/>
    <w:rsid w:val="00A00964"/>
    <w:rsid w:val="00A0694A"/>
    <w:rsid w:val="00A20DF3"/>
    <w:rsid w:val="00A67844"/>
    <w:rsid w:val="00A9684B"/>
    <w:rsid w:val="00AD7C5A"/>
    <w:rsid w:val="00AE534B"/>
    <w:rsid w:val="00B16087"/>
    <w:rsid w:val="00B21B49"/>
    <w:rsid w:val="00B2441C"/>
    <w:rsid w:val="00B70746"/>
    <w:rsid w:val="00B739E3"/>
    <w:rsid w:val="00B77E51"/>
    <w:rsid w:val="00B873D2"/>
    <w:rsid w:val="00BC7ACF"/>
    <w:rsid w:val="00BD29D0"/>
    <w:rsid w:val="00BF0564"/>
    <w:rsid w:val="00C14ED5"/>
    <w:rsid w:val="00C25545"/>
    <w:rsid w:val="00C74C6B"/>
    <w:rsid w:val="00CF3166"/>
    <w:rsid w:val="00DD0028"/>
    <w:rsid w:val="00DE01E5"/>
    <w:rsid w:val="00DE154A"/>
    <w:rsid w:val="00DE4CA7"/>
    <w:rsid w:val="00DE6246"/>
    <w:rsid w:val="00DF136B"/>
    <w:rsid w:val="00E21269"/>
    <w:rsid w:val="00E30649"/>
    <w:rsid w:val="00E51C59"/>
    <w:rsid w:val="00EC478D"/>
    <w:rsid w:val="00EE6A70"/>
    <w:rsid w:val="00F14228"/>
    <w:rsid w:val="00F1794A"/>
    <w:rsid w:val="00F47C51"/>
    <w:rsid w:val="00F62B89"/>
    <w:rsid w:val="00F64D66"/>
    <w:rsid w:val="00F677A6"/>
    <w:rsid w:val="00F7767D"/>
    <w:rsid w:val="00FA21DD"/>
    <w:rsid w:val="00FA2744"/>
    <w:rsid w:val="00FB01E4"/>
    <w:rsid w:val="00FC4901"/>
    <w:rsid w:val="00FD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qFormat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customStyle="1" w:styleId="Zakotwiczenieprzypisudolnego">
    <w:name w:val="Zakotwiczenie przypisu dolnego"/>
    <w:rsid w:val="00885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4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6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qFormat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customStyle="1" w:styleId="Zakotwiczenieprzypisudolnego">
    <w:name w:val="Zakotwiczenie przypisu dolnego"/>
    <w:rsid w:val="00885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4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6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ntis.pl/autor/jolanta-holeczek-a17309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4BA5-2370-4137-8A33-437B818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24</cp:revision>
  <dcterms:created xsi:type="dcterms:W3CDTF">2022-09-13T06:19:00Z</dcterms:created>
  <dcterms:modified xsi:type="dcterms:W3CDTF">2022-09-22T06:36:00Z</dcterms:modified>
</cp:coreProperties>
</file>