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146E5A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JĘZYKA ROSYJSKI</w:t>
      </w:r>
      <w:bookmarkStart w:id="0" w:name="_GoBack"/>
      <w:bookmarkEnd w:id="0"/>
      <w:r w:rsidR="00F021C3">
        <w:rPr>
          <w:rFonts w:ascii="Calibri" w:hAnsi="Calibri" w:cs="Calibri"/>
          <w:b/>
          <w:sz w:val="36"/>
        </w:rPr>
        <w:t>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146E5A">
        <w:rPr>
          <w:rFonts w:ascii="Calibri" w:hAnsi="Calibri" w:cs="Calibri"/>
          <w:b/>
          <w:sz w:val="36"/>
        </w:rPr>
        <w:t xml:space="preserve"> </w:t>
      </w:r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146E5A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>, z późn.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>, z późn.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>, z późn.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>, z późn.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e-mail: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pracach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sal</w:t>
      </w:r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Liczba sal</w:t>
      </w:r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146E5A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>, po rozpatrzeniu odwołań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odwołań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146E5A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Po rozpatrzeniu odwo</w:t>
      </w:r>
      <w:r w:rsidR="00D16B86" w:rsidRPr="00091F2E">
        <w:rPr>
          <w:rFonts w:ascii="Calibri" w:hAnsi="Calibri" w:cs="Calibri"/>
          <w:sz w:val="24"/>
          <w:szCs w:val="24"/>
        </w:rPr>
        <w:t xml:space="preserve">łań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odwołań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146E5A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odwołań</w:t>
      </w:r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odwołań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odwołań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odwołań</w:t>
      </w:r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odwołań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146E5A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odwołań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odwołań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od upływu terminu wnoszenia odwołań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odwołań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146E5A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146E5A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46E5A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481-29AF-40A8-992A-0F126D2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6897</Words>
  <Characters>41383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48184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2022-09-22T10:46:00Z</dcterms:modified>
</cp:coreProperties>
</file>